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6A7" w:rsidRDefault="00E066A7" w:rsidP="00E066A7">
      <w:pPr>
        <w:spacing w:after="0" w:line="360" w:lineRule="auto"/>
        <w:jc w:val="both"/>
        <w:rPr>
          <w:rFonts w:ascii="Palatino Linotype" w:hAnsi="Palatino Linotype"/>
          <w:b/>
          <w:sz w:val="24"/>
          <w:szCs w:val="24"/>
        </w:rPr>
      </w:pPr>
    </w:p>
    <w:p w:rsidR="00E066A7" w:rsidRPr="00B51880" w:rsidRDefault="00E066A7" w:rsidP="00E066A7">
      <w:pPr>
        <w:spacing w:after="0" w:line="360" w:lineRule="auto"/>
        <w:jc w:val="both"/>
        <w:rPr>
          <w:rFonts w:ascii="Palatino Linotype" w:hAnsi="Palatino Linotype"/>
          <w:b/>
          <w:sz w:val="24"/>
          <w:szCs w:val="24"/>
        </w:rPr>
      </w:pPr>
      <w:r w:rsidRPr="00B51880">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Pr>
          <w:rFonts w:ascii="Palatino Linotype" w:hAnsi="Palatino Linotype"/>
          <w:b/>
          <w:sz w:val="24"/>
          <w:szCs w:val="24"/>
        </w:rPr>
        <w:t xml:space="preserve">CUADRAGÉSIMA PRIMER </w:t>
      </w:r>
      <w:r w:rsidRPr="00B51880">
        <w:rPr>
          <w:rFonts w:ascii="Palatino Linotype" w:hAnsi="Palatino Linotype"/>
          <w:b/>
          <w:sz w:val="24"/>
          <w:szCs w:val="24"/>
        </w:rPr>
        <w:t xml:space="preserve">SESIÓN ORDINARIA DEL </w:t>
      </w:r>
      <w:r>
        <w:rPr>
          <w:rFonts w:ascii="Palatino Linotype" w:hAnsi="Palatino Linotype"/>
          <w:b/>
          <w:sz w:val="24"/>
          <w:szCs w:val="24"/>
        </w:rPr>
        <w:t xml:space="preserve">SIETE DE NOVIEMBRE DE </w:t>
      </w:r>
      <w:r w:rsidRPr="00B51880">
        <w:rPr>
          <w:rFonts w:ascii="Palatino Linotype" w:hAnsi="Palatino Linotype"/>
          <w:b/>
          <w:sz w:val="24"/>
          <w:szCs w:val="24"/>
        </w:rPr>
        <w:t>DOS MIL DIECI</w:t>
      </w:r>
      <w:r>
        <w:rPr>
          <w:rFonts w:ascii="Palatino Linotype" w:hAnsi="Palatino Linotype"/>
          <w:b/>
          <w:sz w:val="24"/>
          <w:szCs w:val="24"/>
        </w:rPr>
        <w:t>OCHO</w:t>
      </w:r>
      <w:r w:rsidRPr="00B51880">
        <w:rPr>
          <w:rFonts w:ascii="Palatino Linotype" w:hAnsi="Palatino Linotype"/>
          <w:b/>
          <w:sz w:val="24"/>
          <w:szCs w:val="24"/>
        </w:rPr>
        <w:t xml:space="preserve">, EN EL RECURSO DE REVISIÓN </w:t>
      </w:r>
      <w:r w:rsidRPr="00B51880">
        <w:rPr>
          <w:rFonts w:ascii="Palatino Linotype" w:hAnsi="Palatino Linotype"/>
          <w:b/>
          <w:sz w:val="24"/>
          <w:szCs w:val="24"/>
          <w:lang w:val="es-ES_tradnl"/>
        </w:rPr>
        <w:t>0</w:t>
      </w:r>
      <w:r>
        <w:rPr>
          <w:rFonts w:ascii="Palatino Linotype" w:hAnsi="Palatino Linotype"/>
          <w:b/>
          <w:sz w:val="24"/>
          <w:szCs w:val="24"/>
          <w:lang w:val="es-ES_tradnl"/>
        </w:rPr>
        <w:t>3197</w:t>
      </w:r>
      <w:r w:rsidRPr="00B51880">
        <w:rPr>
          <w:rFonts w:ascii="Palatino Linotype" w:hAnsi="Palatino Linotype"/>
          <w:b/>
          <w:sz w:val="24"/>
          <w:szCs w:val="24"/>
          <w:lang w:val="es-ES_tradnl"/>
        </w:rPr>
        <w:t>/INFOEM/IP/RR/201</w:t>
      </w:r>
      <w:r>
        <w:rPr>
          <w:rFonts w:ascii="Palatino Linotype" w:hAnsi="Palatino Linotype"/>
          <w:b/>
          <w:sz w:val="24"/>
          <w:szCs w:val="24"/>
          <w:lang w:val="es-ES_tradnl"/>
        </w:rPr>
        <w:t>8.</w:t>
      </w:r>
    </w:p>
    <w:p w:rsidR="00E066A7" w:rsidRPr="00962155" w:rsidRDefault="00E066A7" w:rsidP="00E066A7">
      <w:pPr>
        <w:spacing w:after="0" w:line="360" w:lineRule="auto"/>
        <w:jc w:val="both"/>
        <w:rPr>
          <w:rFonts w:ascii="Palatino Linotype" w:hAnsi="Palatino Linotype"/>
          <w:sz w:val="16"/>
          <w:szCs w:val="16"/>
        </w:rPr>
      </w:pPr>
    </w:p>
    <w:p w:rsidR="00E066A7" w:rsidRPr="005E7F58" w:rsidRDefault="00E066A7" w:rsidP="00E066A7">
      <w:pPr>
        <w:spacing w:after="0" w:line="360" w:lineRule="auto"/>
        <w:jc w:val="both"/>
        <w:rPr>
          <w:rFonts w:ascii="Palatino Linotype" w:hAnsi="Palatino Linotype"/>
          <w:sz w:val="24"/>
          <w:szCs w:val="24"/>
        </w:rPr>
      </w:pPr>
      <w:r w:rsidRPr="005E7F58">
        <w:rPr>
          <w:rFonts w:ascii="Palatino Linotype" w:hAnsi="Palatino Linotype"/>
          <w:sz w:val="24"/>
          <w:szCs w:val="24"/>
        </w:rPr>
        <w:t xml:space="preserve">Con fundamento en lo dispuesto por el artículo 14, fracciones X y XI, del Reglamento del Instituto de Transparencia, Acceso a la Información Pública y Protección de Datos Personales del Estado de México, el Comisionado Javier Martínez Cruz emite </w:t>
      </w:r>
      <w:r w:rsidRPr="005E7F58">
        <w:rPr>
          <w:rFonts w:ascii="Palatino Linotype" w:hAnsi="Palatino Linotype"/>
          <w:b/>
          <w:sz w:val="24"/>
          <w:szCs w:val="24"/>
        </w:rPr>
        <w:t>VOTO PARTICULAR</w:t>
      </w:r>
      <w:r w:rsidRPr="005E7F58">
        <w:rPr>
          <w:rFonts w:ascii="Palatino Linotype" w:hAnsi="Palatino Linotype"/>
          <w:sz w:val="24"/>
          <w:szCs w:val="24"/>
        </w:rPr>
        <w:t xml:space="preserve"> respecto a la resolución dictada en el recurso de revisión número </w:t>
      </w:r>
      <w:r w:rsidRPr="005E7F58">
        <w:rPr>
          <w:rFonts w:ascii="Palatino Linotype" w:hAnsi="Palatino Linotype"/>
          <w:b/>
          <w:sz w:val="24"/>
          <w:szCs w:val="24"/>
          <w:lang w:val="es-ES_tradnl"/>
        </w:rPr>
        <w:t>0</w:t>
      </w:r>
      <w:r>
        <w:rPr>
          <w:rFonts w:ascii="Palatino Linotype" w:hAnsi="Palatino Linotype"/>
          <w:b/>
          <w:sz w:val="24"/>
          <w:szCs w:val="24"/>
          <w:lang w:val="es-ES_tradnl"/>
        </w:rPr>
        <w:t>3197</w:t>
      </w:r>
      <w:r w:rsidRPr="005E7F58">
        <w:rPr>
          <w:rFonts w:ascii="Palatino Linotype" w:hAnsi="Palatino Linotype"/>
          <w:b/>
          <w:sz w:val="24"/>
          <w:szCs w:val="24"/>
          <w:lang w:val="es-ES_tradnl"/>
        </w:rPr>
        <w:t>/INFOEM/IP/RR/201</w:t>
      </w:r>
      <w:r>
        <w:rPr>
          <w:rFonts w:ascii="Palatino Linotype" w:hAnsi="Palatino Linotype"/>
          <w:b/>
          <w:sz w:val="24"/>
          <w:szCs w:val="24"/>
          <w:lang w:val="es-ES_tradnl"/>
        </w:rPr>
        <w:t>8</w:t>
      </w:r>
      <w:r w:rsidRPr="005E7F58">
        <w:rPr>
          <w:rFonts w:ascii="Palatino Linotype" w:hAnsi="Palatino Linotype"/>
          <w:b/>
          <w:sz w:val="24"/>
          <w:szCs w:val="24"/>
          <w:lang w:val="es-ES_tradnl"/>
        </w:rPr>
        <w:t xml:space="preserve"> </w:t>
      </w:r>
      <w:r w:rsidRPr="005E7F58">
        <w:rPr>
          <w:rFonts w:ascii="Palatino Linotype" w:hAnsi="Palatino Linotype"/>
          <w:sz w:val="24"/>
          <w:szCs w:val="24"/>
          <w:lang w:val="es-ES_tradnl"/>
        </w:rPr>
        <w:t>p</w:t>
      </w:r>
      <w:proofErr w:type="spellStart"/>
      <w:r w:rsidRPr="005E7F58">
        <w:rPr>
          <w:rFonts w:ascii="Palatino Linotype" w:hAnsi="Palatino Linotype"/>
          <w:sz w:val="24"/>
          <w:szCs w:val="24"/>
        </w:rPr>
        <w:t>ronunciada</w:t>
      </w:r>
      <w:proofErr w:type="spellEnd"/>
      <w:r w:rsidRPr="005E7F58">
        <w:rPr>
          <w:rFonts w:ascii="Palatino Linotype" w:hAnsi="Palatino Linotype"/>
          <w:sz w:val="24"/>
          <w:szCs w:val="24"/>
        </w:rPr>
        <w:t xml:space="preserve"> por el Pleno de este Instituto an</w:t>
      </w:r>
      <w:r>
        <w:rPr>
          <w:rFonts w:ascii="Palatino Linotype" w:hAnsi="Palatino Linotype"/>
          <w:sz w:val="24"/>
          <w:szCs w:val="24"/>
        </w:rPr>
        <w:t xml:space="preserve">te el </w:t>
      </w:r>
      <w:proofErr w:type="gramStart"/>
      <w:r>
        <w:rPr>
          <w:rFonts w:ascii="Palatino Linotype" w:hAnsi="Palatino Linotype"/>
          <w:sz w:val="24"/>
          <w:szCs w:val="24"/>
        </w:rPr>
        <w:t>proyecto</w:t>
      </w:r>
      <w:proofErr w:type="gramEnd"/>
      <w:r>
        <w:rPr>
          <w:rFonts w:ascii="Palatino Linotype" w:hAnsi="Palatino Linotype"/>
          <w:sz w:val="24"/>
          <w:szCs w:val="24"/>
        </w:rPr>
        <w:t xml:space="preserve"> presentado por la</w:t>
      </w:r>
      <w:r w:rsidRPr="005E7F58">
        <w:rPr>
          <w:rFonts w:ascii="Palatino Linotype" w:hAnsi="Palatino Linotype"/>
          <w:sz w:val="24"/>
          <w:szCs w:val="24"/>
        </w:rPr>
        <w:t xml:space="preserve"> Comisionad</w:t>
      </w:r>
      <w:r>
        <w:rPr>
          <w:rFonts w:ascii="Palatino Linotype" w:hAnsi="Palatino Linotype"/>
          <w:sz w:val="24"/>
          <w:szCs w:val="24"/>
        </w:rPr>
        <w:t xml:space="preserve">a </w:t>
      </w:r>
      <w:r>
        <w:rPr>
          <w:rFonts w:ascii="Palatino Linotype" w:hAnsi="Palatino Linotype"/>
          <w:b/>
          <w:sz w:val="24"/>
          <w:szCs w:val="24"/>
          <w:lang w:val="es-ES_tradnl"/>
        </w:rPr>
        <w:t xml:space="preserve">Eva </w:t>
      </w:r>
      <w:proofErr w:type="spellStart"/>
      <w:r>
        <w:rPr>
          <w:rFonts w:ascii="Palatino Linotype" w:hAnsi="Palatino Linotype"/>
          <w:b/>
          <w:sz w:val="24"/>
          <w:szCs w:val="24"/>
          <w:lang w:val="es-ES_tradnl"/>
        </w:rPr>
        <w:t>Abaid</w:t>
      </w:r>
      <w:proofErr w:type="spellEnd"/>
      <w:r>
        <w:rPr>
          <w:rFonts w:ascii="Palatino Linotype" w:hAnsi="Palatino Linotype"/>
          <w:b/>
          <w:sz w:val="24"/>
          <w:szCs w:val="24"/>
          <w:lang w:val="es-ES_tradnl"/>
        </w:rPr>
        <w:t xml:space="preserve"> </w:t>
      </w:r>
      <w:proofErr w:type="spellStart"/>
      <w:r>
        <w:rPr>
          <w:rFonts w:ascii="Palatino Linotype" w:hAnsi="Palatino Linotype"/>
          <w:b/>
          <w:sz w:val="24"/>
          <w:szCs w:val="24"/>
          <w:lang w:val="es-ES_tradnl"/>
        </w:rPr>
        <w:t>Yapur</w:t>
      </w:r>
      <w:proofErr w:type="spellEnd"/>
      <w:r w:rsidRPr="005E7F58">
        <w:rPr>
          <w:rFonts w:ascii="Palatino Linotype" w:hAnsi="Palatino Linotype"/>
          <w:sz w:val="24"/>
          <w:szCs w:val="24"/>
        </w:rPr>
        <w:t xml:space="preserve">, que es del tenor siguiente: </w:t>
      </w:r>
    </w:p>
    <w:p w:rsidR="00E066A7" w:rsidRDefault="00E066A7" w:rsidP="00E066A7">
      <w:pPr>
        <w:tabs>
          <w:tab w:val="left" w:pos="709"/>
        </w:tabs>
        <w:spacing w:before="240" w:line="360" w:lineRule="auto"/>
        <w:ind w:right="51"/>
        <w:jc w:val="both"/>
        <w:rPr>
          <w:rFonts w:ascii="Palatino Linotype" w:hAnsi="Palatino Linotype"/>
          <w:sz w:val="24"/>
          <w:szCs w:val="24"/>
        </w:rPr>
      </w:pPr>
      <w:r w:rsidRPr="00C21974">
        <w:rPr>
          <w:rFonts w:ascii="Palatino Linotype" w:hAnsi="Palatino Linotype"/>
          <w:sz w:val="24"/>
          <w:szCs w:val="24"/>
        </w:rPr>
        <w:t xml:space="preserve">De la solicitud de información </w:t>
      </w:r>
      <w:r w:rsidRPr="00E066A7">
        <w:rPr>
          <w:rFonts w:ascii="Palatino Linotype" w:hAnsi="Palatino Linotype"/>
          <w:b/>
          <w:bCs/>
          <w:sz w:val="24"/>
          <w:szCs w:val="24"/>
          <w:lang w:val="es-ES"/>
        </w:rPr>
        <w:t>00469/PJUDICI/IP/2018</w:t>
      </w:r>
      <w:r w:rsidRPr="00C21974">
        <w:rPr>
          <w:rFonts w:ascii="Palatino Linotype" w:hAnsi="Palatino Linotype"/>
          <w:sz w:val="24"/>
          <w:szCs w:val="24"/>
        </w:rPr>
        <w:t xml:space="preserve"> destaca que el particular requirió </w:t>
      </w:r>
      <w:r>
        <w:rPr>
          <w:rFonts w:ascii="Palatino Linotype" w:hAnsi="Palatino Linotype"/>
          <w:sz w:val="24"/>
          <w:szCs w:val="24"/>
        </w:rPr>
        <w:t xml:space="preserve">que </w:t>
      </w:r>
      <w:r w:rsidR="00A355DC">
        <w:rPr>
          <w:rFonts w:ascii="Palatino Linotype" w:hAnsi="Palatino Linotype"/>
          <w:sz w:val="24"/>
          <w:szCs w:val="24"/>
        </w:rPr>
        <w:t xml:space="preserve">el Poder Judicial </w:t>
      </w:r>
      <w:r>
        <w:rPr>
          <w:rFonts w:ascii="Palatino Linotype" w:hAnsi="Palatino Linotype"/>
          <w:sz w:val="24"/>
          <w:szCs w:val="24"/>
        </w:rPr>
        <w:t>le proporcionara lo siguiente:</w:t>
      </w:r>
    </w:p>
    <w:p w:rsidR="00E066A7" w:rsidRDefault="00E066A7" w:rsidP="00E066A7">
      <w:pPr>
        <w:tabs>
          <w:tab w:val="left" w:pos="709"/>
        </w:tabs>
        <w:spacing w:after="0" w:line="240" w:lineRule="auto"/>
        <w:ind w:left="851" w:right="851"/>
        <w:jc w:val="both"/>
        <w:rPr>
          <w:rFonts w:ascii="Palatino Linotype" w:eastAsia="Times New Roman" w:hAnsi="Palatino Linotype" w:cs="Times New Roman"/>
          <w:i/>
          <w:sz w:val="24"/>
          <w:szCs w:val="24"/>
          <w:lang w:val="es-ES_tradnl" w:eastAsia="es-ES"/>
        </w:rPr>
      </w:pPr>
      <w:r w:rsidRPr="009C4D4A">
        <w:rPr>
          <w:rFonts w:ascii="Palatino Linotype" w:eastAsia="Times New Roman" w:hAnsi="Palatino Linotype" w:cs="Times New Roman"/>
          <w:i/>
          <w:sz w:val="24"/>
          <w:szCs w:val="24"/>
          <w:lang w:val="es-ES_tradnl" w:eastAsia="es-ES"/>
        </w:rPr>
        <w:t>“</w:t>
      </w:r>
      <w:r w:rsidRPr="00E066A7">
        <w:rPr>
          <w:rFonts w:ascii="Palatino Linotype" w:hAnsi="Palatino Linotype"/>
          <w:i/>
          <w:color w:val="000000"/>
          <w:sz w:val="24"/>
          <w:szCs w:val="24"/>
          <w:lang w:val="es-ES"/>
        </w:rPr>
        <w:t xml:space="preserve">Respecto la convocatoria publicada el 11 de julio de 2017, para el examen de oposición para juez civil; me han informado que los 15 mejores promedios ya han Sido nombrados; mi petición es me informen los nombres y qué lugares ocuparon del 16 al 33 de dicho </w:t>
      </w:r>
      <w:proofErr w:type="spellStart"/>
      <w:r w:rsidRPr="00E066A7">
        <w:rPr>
          <w:rFonts w:ascii="Palatino Linotype" w:hAnsi="Palatino Linotype"/>
          <w:i/>
          <w:color w:val="000000"/>
          <w:sz w:val="24"/>
          <w:szCs w:val="24"/>
          <w:lang w:val="es-ES"/>
        </w:rPr>
        <w:t>exámen</w:t>
      </w:r>
      <w:proofErr w:type="spellEnd"/>
      <w:r w:rsidRPr="00E066A7">
        <w:rPr>
          <w:rFonts w:ascii="Palatino Linotype" w:hAnsi="Palatino Linotype"/>
          <w:i/>
          <w:color w:val="000000"/>
          <w:sz w:val="24"/>
          <w:szCs w:val="24"/>
          <w:lang w:val="es-ES"/>
        </w:rPr>
        <w:t xml:space="preserve"> y además me informen qué </w:t>
      </w:r>
      <w:r w:rsidRPr="00E066A7">
        <w:rPr>
          <w:rFonts w:ascii="Palatino Linotype" w:hAnsi="Palatino Linotype"/>
          <w:i/>
          <w:color w:val="000000"/>
          <w:sz w:val="24"/>
          <w:szCs w:val="24"/>
          <w:lang w:val="es-ES"/>
        </w:rPr>
        <w:lastRenderedPageBreak/>
        <w:t>personas que quedaron dentro del lugar entre el 16 y 33; quienes ya fueron nombrados como jueces</w:t>
      </w:r>
      <w:r w:rsidRPr="009C4D4A">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i/>
          <w:sz w:val="24"/>
          <w:szCs w:val="24"/>
          <w:lang w:val="es-ES_tradnl" w:eastAsia="es-ES"/>
        </w:rPr>
        <w:t>.</w:t>
      </w:r>
    </w:p>
    <w:p w:rsidR="002669F2" w:rsidRPr="00596A30" w:rsidRDefault="002669F2" w:rsidP="00E066A7">
      <w:pPr>
        <w:tabs>
          <w:tab w:val="left" w:pos="709"/>
        </w:tabs>
        <w:spacing w:after="0" w:line="240" w:lineRule="auto"/>
        <w:ind w:left="851" w:right="851"/>
        <w:jc w:val="both"/>
        <w:rPr>
          <w:rFonts w:ascii="Palatino Linotype" w:hAnsi="Palatino Linotype"/>
          <w:i/>
          <w:sz w:val="24"/>
          <w:szCs w:val="24"/>
        </w:rPr>
      </w:pPr>
    </w:p>
    <w:p w:rsidR="00E066A7" w:rsidRPr="0072797F" w:rsidRDefault="00E066A7" w:rsidP="00E066A7">
      <w:pPr>
        <w:spacing w:before="120" w:after="120" w:line="360" w:lineRule="auto"/>
        <w:jc w:val="both"/>
        <w:rPr>
          <w:rFonts w:ascii="Palatino Linotype" w:hAnsi="Palatino Linotype" w:cs="Arial"/>
          <w:sz w:val="24"/>
          <w:szCs w:val="24"/>
          <w:lang w:val="es-ES"/>
        </w:rPr>
      </w:pPr>
      <w:r w:rsidRPr="0072797F">
        <w:rPr>
          <w:rFonts w:ascii="Palatino Linotype" w:hAnsi="Palatino Linotype" w:cs="Arial"/>
          <w:sz w:val="24"/>
          <w:szCs w:val="24"/>
          <w:lang w:val="es-ES"/>
        </w:rPr>
        <w:t xml:space="preserve">En respuesta, el Sujeto Obligado refirió mediante oficio </w:t>
      </w:r>
      <w:r w:rsidR="00480AC3" w:rsidRPr="0072797F">
        <w:rPr>
          <w:rFonts w:ascii="Palatino Linotype" w:hAnsi="Palatino Linotype" w:cs="Arial"/>
          <w:sz w:val="24"/>
          <w:szCs w:val="24"/>
          <w:lang w:val="es-ES"/>
        </w:rPr>
        <w:t>de fecha tres de septiembre del presente año que de la convocatoria de fecha 11 de junio de 2017, referente al Concurso de Oposición para Juez en Materia Civil(Aspirantes Libres y Exigencia Legal) 15 Plazas”, ya fueron nombrados catorce aspirantes con mejor promedio, faltando por nombrar únicamente uno</w:t>
      </w:r>
      <w:r w:rsidRPr="0072797F">
        <w:rPr>
          <w:rFonts w:ascii="Palatino Linotype" w:hAnsi="Palatino Linotype" w:cs="Arial"/>
          <w:sz w:val="24"/>
          <w:szCs w:val="24"/>
          <w:lang w:val="es-ES"/>
        </w:rPr>
        <w:t>.</w:t>
      </w:r>
    </w:p>
    <w:p w:rsidR="00E066A7" w:rsidRDefault="00E066A7" w:rsidP="00E066A7">
      <w:pPr>
        <w:spacing w:before="120" w:line="360" w:lineRule="auto"/>
        <w:jc w:val="both"/>
        <w:rPr>
          <w:rFonts w:ascii="Palatino Linotype" w:hAnsi="Palatino Linotype" w:cs="Arial"/>
          <w:sz w:val="24"/>
          <w:szCs w:val="24"/>
          <w:lang w:val="es-ES_tradnl"/>
        </w:rPr>
      </w:pPr>
      <w:r w:rsidRPr="00B51880">
        <w:rPr>
          <w:rFonts w:ascii="Palatino Linotype" w:hAnsi="Palatino Linotype"/>
          <w:sz w:val="24"/>
          <w:szCs w:val="24"/>
        </w:rPr>
        <w:t>Inconforme</w:t>
      </w:r>
      <w:r>
        <w:rPr>
          <w:rFonts w:ascii="Palatino Linotype" w:hAnsi="Palatino Linotype"/>
          <w:sz w:val="24"/>
          <w:szCs w:val="24"/>
        </w:rPr>
        <w:t xml:space="preserve"> con la respuesta</w:t>
      </w:r>
      <w:r w:rsidRPr="00B51880">
        <w:rPr>
          <w:rFonts w:ascii="Palatino Linotype" w:hAnsi="Palatino Linotype" w:cs="Arial"/>
          <w:sz w:val="24"/>
          <w:szCs w:val="24"/>
          <w:lang w:val="es-ES_tradnl"/>
        </w:rPr>
        <w:t>,</w:t>
      </w:r>
      <w:r>
        <w:rPr>
          <w:rFonts w:ascii="Palatino Linotype" w:hAnsi="Palatino Linotype" w:cs="Arial"/>
          <w:sz w:val="24"/>
          <w:szCs w:val="24"/>
          <w:lang w:val="es-ES_tradnl"/>
        </w:rPr>
        <w:t xml:space="preserve"> el </w:t>
      </w:r>
      <w:r>
        <w:rPr>
          <w:rFonts w:ascii="Palatino Linotype" w:hAnsi="Palatino Linotype" w:cs="Arial"/>
          <w:color w:val="000000"/>
          <w:sz w:val="24"/>
          <w:szCs w:val="24"/>
          <w:lang w:eastAsia="es-MX"/>
        </w:rPr>
        <w:t>R</w:t>
      </w:r>
      <w:r w:rsidRPr="00B51880">
        <w:rPr>
          <w:rFonts w:ascii="Palatino Linotype" w:hAnsi="Palatino Linotype" w:cs="Arial"/>
          <w:color w:val="000000"/>
          <w:sz w:val="24"/>
          <w:szCs w:val="24"/>
          <w:lang w:eastAsia="es-MX"/>
        </w:rPr>
        <w:t>ecurrente</w:t>
      </w:r>
      <w:r w:rsidRPr="00B51880">
        <w:rPr>
          <w:rFonts w:ascii="Palatino Linotype" w:hAnsi="Palatino Linotype" w:cs="Arial"/>
          <w:sz w:val="24"/>
          <w:szCs w:val="24"/>
          <w:lang w:val="es-ES_tradnl"/>
        </w:rPr>
        <w:t xml:space="preserve"> int</w:t>
      </w:r>
      <w:r>
        <w:rPr>
          <w:rFonts w:ascii="Palatino Linotype" w:hAnsi="Palatino Linotype" w:cs="Arial"/>
          <w:sz w:val="24"/>
          <w:szCs w:val="24"/>
          <w:lang w:val="es-ES_tradnl"/>
        </w:rPr>
        <w:t xml:space="preserve">erpuso el medio de impugnación </w:t>
      </w:r>
      <w:r w:rsidRPr="00B51880">
        <w:rPr>
          <w:rFonts w:ascii="Palatino Linotype" w:hAnsi="Palatino Linotype" w:cs="Arial"/>
          <w:sz w:val="24"/>
          <w:szCs w:val="24"/>
          <w:lang w:val="es-ES_tradnl"/>
        </w:rPr>
        <w:t xml:space="preserve">materia de análisis, en </w:t>
      </w:r>
      <w:r>
        <w:rPr>
          <w:rFonts w:ascii="Palatino Linotype" w:hAnsi="Palatino Linotype" w:cs="Arial"/>
          <w:sz w:val="24"/>
          <w:szCs w:val="24"/>
          <w:lang w:val="es-ES_tradnl"/>
        </w:rPr>
        <w:t xml:space="preserve">el </w:t>
      </w:r>
      <w:r w:rsidRPr="00B51880">
        <w:rPr>
          <w:rFonts w:ascii="Palatino Linotype" w:hAnsi="Palatino Linotype" w:cs="Arial"/>
          <w:sz w:val="24"/>
          <w:szCs w:val="24"/>
          <w:lang w:val="es-ES_tradnl"/>
        </w:rPr>
        <w:t xml:space="preserve">que precisó </w:t>
      </w:r>
      <w:r>
        <w:rPr>
          <w:rFonts w:ascii="Palatino Linotype" w:hAnsi="Palatino Linotype" w:cs="Arial"/>
          <w:sz w:val="24"/>
          <w:szCs w:val="24"/>
          <w:lang w:val="es-ES_tradnl"/>
        </w:rPr>
        <w:t xml:space="preserve">como </w:t>
      </w:r>
      <w:r w:rsidRPr="00C21974">
        <w:rPr>
          <w:rFonts w:ascii="Palatino Linotype" w:hAnsi="Palatino Linotype" w:cs="Arial"/>
          <w:b/>
          <w:sz w:val="24"/>
          <w:szCs w:val="24"/>
          <w:lang w:val="es-ES_tradnl"/>
        </w:rPr>
        <w:t>acto impugnado</w:t>
      </w:r>
      <w:r>
        <w:rPr>
          <w:rFonts w:ascii="Palatino Linotype" w:hAnsi="Palatino Linotype" w:cs="Arial"/>
          <w:b/>
          <w:sz w:val="24"/>
          <w:szCs w:val="24"/>
          <w:lang w:val="es-ES_tradnl"/>
        </w:rPr>
        <w:t xml:space="preserve"> </w:t>
      </w:r>
      <w:r w:rsidRPr="009C4D4A">
        <w:rPr>
          <w:rFonts w:ascii="Palatino Linotype" w:hAnsi="Palatino Linotype" w:cs="Arial"/>
          <w:i/>
          <w:sz w:val="24"/>
          <w:szCs w:val="24"/>
          <w:lang w:val="es-ES_tradnl"/>
        </w:rPr>
        <w:t>“</w:t>
      </w:r>
      <w:r w:rsidR="002669F2" w:rsidRPr="002669F2">
        <w:rPr>
          <w:rFonts w:ascii="Palatino Linotype" w:hAnsi="Palatino Linotype" w:cs="Arial"/>
          <w:i/>
          <w:sz w:val="24"/>
          <w:szCs w:val="24"/>
          <w:lang w:val="es-ES"/>
        </w:rPr>
        <w:t>La respuesta otorgada a mi solicitud es el acto impugnado, puesto que no dan contestación a la solicitado</w:t>
      </w:r>
      <w:r w:rsidRPr="009C4D4A">
        <w:rPr>
          <w:rFonts w:ascii="Palatino Linotype" w:hAnsi="Palatino Linotype" w:cs="Arial"/>
          <w:i/>
          <w:sz w:val="24"/>
          <w:szCs w:val="24"/>
          <w:lang w:val="es-ES_tradnl"/>
        </w:rPr>
        <w:t>”</w:t>
      </w:r>
      <w:r>
        <w:rPr>
          <w:rFonts w:ascii="Palatino Linotype" w:hAnsi="Palatino Linotype" w:cs="Arial"/>
          <w:sz w:val="24"/>
          <w:szCs w:val="24"/>
          <w:lang w:val="es-ES_tradnl"/>
        </w:rPr>
        <w:t xml:space="preserve"> y como </w:t>
      </w:r>
      <w:r w:rsidRPr="00587E6C">
        <w:rPr>
          <w:rFonts w:ascii="Palatino Linotype" w:hAnsi="Palatino Linotype" w:cs="Arial"/>
          <w:b/>
          <w:sz w:val="24"/>
          <w:szCs w:val="24"/>
          <w:lang w:val="es-ES_tradnl"/>
        </w:rPr>
        <w:t>motivos de inconformidad</w:t>
      </w:r>
      <w:r>
        <w:rPr>
          <w:rFonts w:ascii="Palatino Linotype" w:hAnsi="Palatino Linotype" w:cs="Arial"/>
          <w:sz w:val="24"/>
          <w:szCs w:val="24"/>
          <w:lang w:val="es-ES_tradnl"/>
        </w:rPr>
        <w:t xml:space="preserve"> arguyó que </w:t>
      </w:r>
      <w:r w:rsidRPr="009C4D4A">
        <w:rPr>
          <w:rFonts w:ascii="Palatino Linotype" w:hAnsi="Palatino Linotype" w:cs="Arial"/>
          <w:i/>
          <w:sz w:val="24"/>
          <w:szCs w:val="24"/>
          <w:lang w:val="es-ES_tradnl"/>
        </w:rPr>
        <w:t>“</w:t>
      </w:r>
      <w:r w:rsidR="002669F2" w:rsidRPr="002669F2">
        <w:rPr>
          <w:rFonts w:ascii="Palatino Linotype" w:hAnsi="Palatino Linotype" w:cs="Arial"/>
          <w:i/>
          <w:sz w:val="24"/>
          <w:szCs w:val="24"/>
          <w:lang w:val="es-ES"/>
        </w:rPr>
        <w:t xml:space="preserve">puesto que no dan contestación a la solicitado, ya que se </w:t>
      </w:r>
      <w:proofErr w:type="spellStart"/>
      <w:r w:rsidR="002669F2" w:rsidRPr="002669F2">
        <w:rPr>
          <w:rFonts w:ascii="Palatino Linotype" w:hAnsi="Palatino Linotype" w:cs="Arial"/>
          <w:i/>
          <w:sz w:val="24"/>
          <w:szCs w:val="24"/>
          <w:lang w:val="es-ES"/>
        </w:rPr>
        <w:t>solicito</w:t>
      </w:r>
      <w:proofErr w:type="spellEnd"/>
      <w:r w:rsidR="002669F2" w:rsidRPr="002669F2">
        <w:rPr>
          <w:rFonts w:ascii="Palatino Linotype" w:hAnsi="Palatino Linotype" w:cs="Arial"/>
          <w:i/>
          <w:sz w:val="24"/>
          <w:szCs w:val="24"/>
          <w:lang w:val="es-ES"/>
        </w:rPr>
        <w:t xml:space="preserve"> que informara respecto de los lugares del 16 al 33 del examen de oposición, ellos han informado del 1 al 15, pero no del 16 al 33, además se le solicito que informara si del 16 al 33 ya existe algún nombramiento de juez lo que no menciona, pues </w:t>
      </w:r>
      <w:proofErr w:type="spellStart"/>
      <w:r w:rsidR="002669F2" w:rsidRPr="002669F2">
        <w:rPr>
          <w:rFonts w:ascii="Palatino Linotype" w:hAnsi="Palatino Linotype" w:cs="Arial"/>
          <w:i/>
          <w:sz w:val="24"/>
          <w:szCs w:val="24"/>
          <w:lang w:val="es-ES"/>
        </w:rPr>
        <w:t>debio</w:t>
      </w:r>
      <w:proofErr w:type="spellEnd"/>
      <w:r w:rsidR="002669F2" w:rsidRPr="002669F2">
        <w:rPr>
          <w:rFonts w:ascii="Palatino Linotype" w:hAnsi="Palatino Linotype" w:cs="Arial"/>
          <w:i/>
          <w:sz w:val="24"/>
          <w:szCs w:val="24"/>
          <w:lang w:val="es-ES"/>
        </w:rPr>
        <w:t xml:space="preserve"> de indicar entonces que fuera de los 15 primeros lugares no hubo ningún otro nombramiento pero no lo hizo </w:t>
      </w:r>
      <w:proofErr w:type="spellStart"/>
      <w:r w:rsidR="002669F2" w:rsidRPr="002669F2">
        <w:rPr>
          <w:rFonts w:ascii="Palatino Linotype" w:hAnsi="Palatino Linotype" w:cs="Arial"/>
          <w:i/>
          <w:sz w:val="24"/>
          <w:szCs w:val="24"/>
          <w:lang w:val="es-ES"/>
        </w:rPr>
        <w:t>si</w:t>
      </w:r>
      <w:proofErr w:type="spellEnd"/>
      <w:r w:rsidR="002669F2" w:rsidRPr="002669F2">
        <w:rPr>
          <w:rFonts w:ascii="Palatino Linotype" w:hAnsi="Palatino Linotype" w:cs="Arial"/>
          <w:i/>
          <w:sz w:val="24"/>
          <w:szCs w:val="24"/>
          <w:lang w:val="es-ES"/>
        </w:rPr>
        <w:t xml:space="preserve"> que otorga evasivas, pues nada</w:t>
      </w:r>
      <w:r w:rsidRPr="009C4D4A">
        <w:rPr>
          <w:rFonts w:ascii="Palatino Linotype" w:hAnsi="Palatino Linotype" w:cs="Arial"/>
          <w:i/>
          <w:sz w:val="24"/>
          <w:szCs w:val="24"/>
          <w:lang w:val="es-ES_tradnl"/>
        </w:rPr>
        <w:t>”</w:t>
      </w:r>
      <w:r>
        <w:rPr>
          <w:rFonts w:ascii="Palatino Linotype" w:hAnsi="Palatino Linotype" w:cs="Arial"/>
          <w:sz w:val="24"/>
          <w:szCs w:val="24"/>
          <w:lang w:val="es-ES_tradnl"/>
        </w:rPr>
        <w:t>.</w:t>
      </w:r>
    </w:p>
    <w:p w:rsidR="00E066A7" w:rsidRPr="007913E6" w:rsidRDefault="00E066A7" w:rsidP="002669F2">
      <w:pPr>
        <w:spacing w:before="12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En este sentido es de suma importancia mencionar que </w:t>
      </w:r>
      <w:r w:rsidR="002669F2">
        <w:rPr>
          <w:rFonts w:ascii="Palatino Linotype" w:hAnsi="Palatino Linotype" w:cs="Arial"/>
          <w:sz w:val="24"/>
          <w:szCs w:val="24"/>
          <w:lang w:val="es-ES_tradnl"/>
        </w:rPr>
        <w:t xml:space="preserve">el </w:t>
      </w:r>
      <w:r w:rsidR="002669F2" w:rsidRPr="002669F2">
        <w:rPr>
          <w:rFonts w:ascii="Palatino Linotype" w:hAnsi="Palatino Linotype" w:cs="Arial"/>
          <w:sz w:val="24"/>
          <w:szCs w:val="24"/>
          <w:lang w:val="es-ES"/>
        </w:rPr>
        <w:t xml:space="preserve">dieciocho de septiembre de dos mil dieciocho, </w:t>
      </w:r>
      <w:r w:rsidR="002669F2" w:rsidRPr="002669F2">
        <w:rPr>
          <w:rFonts w:ascii="Palatino Linotype" w:hAnsi="Palatino Linotype" w:cs="Arial"/>
          <w:b/>
          <w:sz w:val="24"/>
          <w:szCs w:val="24"/>
          <w:lang w:val="es-ES"/>
        </w:rPr>
        <w:t>EL SUJETO OBLIGADO</w:t>
      </w:r>
      <w:r w:rsidR="002669F2" w:rsidRPr="002669F2">
        <w:rPr>
          <w:rFonts w:ascii="Palatino Linotype" w:hAnsi="Palatino Linotype" w:cs="Arial"/>
          <w:sz w:val="24"/>
          <w:szCs w:val="24"/>
          <w:lang w:val="es-ES"/>
        </w:rPr>
        <w:t xml:space="preserve"> rindió el Informe Justificado</w:t>
      </w:r>
      <w:r w:rsidR="002669F2" w:rsidRPr="002669F2">
        <w:rPr>
          <w:rFonts w:ascii="Palatino Linotype" w:hAnsi="Palatino Linotype" w:cs="Arial"/>
          <w:b/>
          <w:bCs/>
          <w:sz w:val="24"/>
          <w:szCs w:val="24"/>
          <w:lang w:val="es-ES"/>
        </w:rPr>
        <w:t xml:space="preserve">, </w:t>
      </w:r>
      <w:r w:rsidR="002669F2" w:rsidRPr="002669F2">
        <w:rPr>
          <w:rFonts w:ascii="Palatino Linotype" w:hAnsi="Palatino Linotype" w:cs="Arial"/>
          <w:sz w:val="24"/>
          <w:szCs w:val="24"/>
          <w:lang w:val="es-ES"/>
        </w:rPr>
        <w:t>mismo que no fue puesto a la vista de la particular en razón de que no modificó su respuesta, por lo tanto no se actualizó lo previsto en la fracción III del artículo 185 de la Ley de Transparencia y Acceso a la Información Pública del Estado de México y Municipios</w:t>
      </w:r>
      <w:r w:rsidRPr="007913E6">
        <w:rPr>
          <w:rFonts w:ascii="Palatino Linotype" w:hAnsi="Palatino Linotype" w:cs="Arial"/>
          <w:sz w:val="24"/>
          <w:szCs w:val="24"/>
          <w:lang w:val="es-ES_tradnl"/>
        </w:rPr>
        <w:t>.</w:t>
      </w:r>
    </w:p>
    <w:p w:rsidR="00E066A7" w:rsidRPr="007913E6" w:rsidRDefault="00E066A7" w:rsidP="00E066A7">
      <w:pPr>
        <w:spacing w:after="0" w:line="360" w:lineRule="auto"/>
        <w:jc w:val="both"/>
        <w:rPr>
          <w:rFonts w:ascii="Palatino Linotype" w:hAnsi="Palatino Linotype"/>
          <w:sz w:val="24"/>
          <w:szCs w:val="24"/>
        </w:rPr>
      </w:pPr>
      <w:r w:rsidRPr="007913E6">
        <w:rPr>
          <w:rFonts w:ascii="Palatino Linotype" w:hAnsi="Palatino Linotype" w:cs="Arial"/>
          <w:sz w:val="24"/>
          <w:szCs w:val="24"/>
          <w:lang w:val="es-ES_tradnl"/>
        </w:rPr>
        <w:lastRenderedPageBreak/>
        <w:t xml:space="preserve">Por lo que una vez sustanciado el medio de impugnación al rubro indicado, la Ponencia </w:t>
      </w:r>
      <w:r w:rsidRPr="007913E6">
        <w:rPr>
          <w:rFonts w:ascii="Palatino Linotype" w:hAnsi="Palatino Linotype"/>
          <w:sz w:val="24"/>
          <w:szCs w:val="24"/>
        </w:rPr>
        <w:t>determinó lo siguiente:</w:t>
      </w:r>
    </w:p>
    <w:p w:rsidR="00E066A7" w:rsidRPr="007913E6" w:rsidRDefault="00E066A7" w:rsidP="00E066A7">
      <w:pPr>
        <w:spacing w:after="0" w:line="360" w:lineRule="auto"/>
        <w:ind w:left="851" w:right="851"/>
        <w:jc w:val="both"/>
        <w:rPr>
          <w:rFonts w:ascii="Palatino Linotype" w:eastAsia="Times New Roman" w:hAnsi="Palatino Linotype" w:cs="Arial"/>
          <w:b/>
          <w:lang w:val="es-ES_tradnl" w:eastAsia="es-ES"/>
        </w:rPr>
      </w:pPr>
    </w:p>
    <w:p w:rsidR="00E066A7" w:rsidRPr="007913E6" w:rsidRDefault="00E066A7" w:rsidP="00E066A7">
      <w:pPr>
        <w:spacing w:after="0" w:line="360" w:lineRule="auto"/>
        <w:ind w:left="851" w:right="851"/>
        <w:jc w:val="both"/>
        <w:rPr>
          <w:rFonts w:ascii="Palatino Linotype" w:hAnsi="Palatino Linotype"/>
          <w:b/>
          <w:bCs/>
          <w:i/>
        </w:rPr>
      </w:pPr>
      <w:r w:rsidRPr="007913E6">
        <w:rPr>
          <w:rFonts w:ascii="Palatino Linotype" w:eastAsia="Times New Roman" w:hAnsi="Palatino Linotype" w:cs="Arial"/>
          <w:b/>
          <w:lang w:val="es-ES_tradnl" w:eastAsia="es-ES"/>
        </w:rPr>
        <w:t>“</w:t>
      </w:r>
      <w:r w:rsidRPr="007913E6">
        <w:rPr>
          <w:rFonts w:ascii="Palatino Linotype" w:hAnsi="Palatino Linotype"/>
          <w:b/>
          <w:bCs/>
          <w:i/>
        </w:rPr>
        <w:t>…</w:t>
      </w:r>
    </w:p>
    <w:p w:rsidR="002669F2" w:rsidRPr="002669F2" w:rsidRDefault="002669F2" w:rsidP="002669F2">
      <w:pPr>
        <w:spacing w:after="0" w:line="240" w:lineRule="auto"/>
        <w:ind w:left="851" w:right="851"/>
        <w:jc w:val="both"/>
        <w:rPr>
          <w:rFonts w:ascii="Palatino Linotype" w:hAnsi="Palatino Linotype"/>
          <w:i/>
        </w:rPr>
      </w:pPr>
      <w:r w:rsidRPr="002669F2">
        <w:rPr>
          <w:rFonts w:ascii="Palatino Linotype" w:hAnsi="Palatino Linotype"/>
          <w:b/>
          <w:bCs/>
          <w:i/>
          <w:lang w:val="es-ES"/>
        </w:rPr>
        <w:t>PRIMERO</w:t>
      </w:r>
      <w:r w:rsidRPr="002669F2">
        <w:rPr>
          <w:rFonts w:ascii="Palatino Linotype" w:hAnsi="Palatino Linotype"/>
          <w:i/>
          <w:lang w:val="es-ES"/>
        </w:rPr>
        <w:t xml:space="preserve">. Resultan </w:t>
      </w:r>
      <w:r w:rsidRPr="002669F2">
        <w:rPr>
          <w:rFonts w:ascii="Palatino Linotype" w:hAnsi="Palatino Linotype"/>
          <w:b/>
          <w:i/>
          <w:lang w:val="es-ES"/>
        </w:rPr>
        <w:t>parcialmente</w:t>
      </w:r>
      <w:r w:rsidRPr="002669F2">
        <w:rPr>
          <w:rFonts w:ascii="Palatino Linotype" w:hAnsi="Palatino Linotype"/>
          <w:i/>
          <w:lang w:val="es-ES"/>
        </w:rPr>
        <w:t xml:space="preserve"> </w:t>
      </w:r>
      <w:r w:rsidRPr="002669F2">
        <w:rPr>
          <w:rFonts w:ascii="Palatino Linotype" w:hAnsi="Palatino Linotype"/>
          <w:b/>
          <w:i/>
          <w:lang w:val="es-ES"/>
        </w:rPr>
        <w:t>fundadas</w:t>
      </w:r>
      <w:r w:rsidRPr="002669F2">
        <w:rPr>
          <w:rFonts w:ascii="Palatino Linotype" w:hAnsi="Palatino Linotype"/>
          <w:i/>
          <w:lang w:val="es-ES"/>
        </w:rPr>
        <w:t xml:space="preserve"> las razones o motivos de inconformidad planteadas por </w:t>
      </w:r>
      <w:r w:rsidRPr="002669F2">
        <w:rPr>
          <w:rFonts w:ascii="Palatino Linotype" w:hAnsi="Palatino Linotype"/>
          <w:b/>
          <w:i/>
          <w:lang w:val="es-ES"/>
        </w:rPr>
        <w:t>LA RECURRENTE</w:t>
      </w:r>
      <w:r w:rsidRPr="002669F2">
        <w:rPr>
          <w:rFonts w:ascii="Palatino Linotype" w:hAnsi="Palatino Linotype"/>
          <w:i/>
          <w:lang w:val="es-ES"/>
        </w:rPr>
        <w:t xml:space="preserve"> </w:t>
      </w:r>
      <w:r w:rsidRPr="002669F2">
        <w:rPr>
          <w:rFonts w:ascii="Palatino Linotype" w:hAnsi="Palatino Linotype"/>
          <w:i/>
        </w:rPr>
        <w:t xml:space="preserve">en términos del Considerando </w:t>
      </w:r>
      <w:r w:rsidRPr="002669F2">
        <w:rPr>
          <w:rFonts w:ascii="Palatino Linotype" w:hAnsi="Palatino Linotype"/>
          <w:b/>
          <w:i/>
        </w:rPr>
        <w:t>QUINTO</w:t>
      </w:r>
      <w:r w:rsidRPr="002669F2">
        <w:rPr>
          <w:rFonts w:ascii="Palatino Linotype" w:hAnsi="Palatino Linotype"/>
          <w:i/>
        </w:rPr>
        <w:t xml:space="preserve"> de esta Resolución.</w:t>
      </w:r>
    </w:p>
    <w:p w:rsidR="002669F2" w:rsidRPr="002669F2" w:rsidRDefault="002669F2" w:rsidP="002669F2">
      <w:pPr>
        <w:spacing w:after="0" w:line="240" w:lineRule="auto"/>
        <w:ind w:left="851" w:right="851"/>
        <w:jc w:val="both"/>
        <w:rPr>
          <w:rFonts w:ascii="Palatino Linotype" w:hAnsi="Palatino Linotype"/>
          <w:i/>
          <w:lang w:val="es-ES"/>
        </w:rPr>
      </w:pPr>
    </w:p>
    <w:p w:rsidR="002669F2" w:rsidRPr="002669F2" w:rsidRDefault="002669F2" w:rsidP="002669F2">
      <w:pPr>
        <w:spacing w:after="0" w:line="240" w:lineRule="auto"/>
        <w:ind w:left="851" w:right="851"/>
        <w:jc w:val="both"/>
        <w:rPr>
          <w:rFonts w:ascii="Palatino Linotype" w:hAnsi="Palatino Linotype"/>
          <w:i/>
          <w:lang w:val="es-ES"/>
        </w:rPr>
      </w:pPr>
      <w:r w:rsidRPr="002669F2">
        <w:rPr>
          <w:rFonts w:ascii="Palatino Linotype" w:hAnsi="Palatino Linotype"/>
          <w:b/>
          <w:bCs/>
          <w:i/>
          <w:lang w:val="es-ES"/>
        </w:rPr>
        <w:t xml:space="preserve">SEGUNDO. </w:t>
      </w:r>
      <w:r w:rsidRPr="002669F2">
        <w:rPr>
          <w:rFonts w:ascii="Palatino Linotype" w:hAnsi="Palatino Linotype"/>
          <w:bCs/>
          <w:i/>
          <w:lang w:val="es-ES"/>
        </w:rPr>
        <w:t>Se</w:t>
      </w:r>
      <w:r w:rsidRPr="002669F2">
        <w:rPr>
          <w:rFonts w:ascii="Palatino Linotype" w:hAnsi="Palatino Linotype"/>
          <w:b/>
          <w:bCs/>
          <w:i/>
          <w:lang w:val="es-ES"/>
        </w:rPr>
        <w:t xml:space="preserve"> REVOCA </w:t>
      </w:r>
      <w:r w:rsidRPr="002669F2">
        <w:rPr>
          <w:rFonts w:ascii="Palatino Linotype" w:hAnsi="Palatino Linotype"/>
          <w:bCs/>
          <w:i/>
          <w:lang w:val="es-ES"/>
        </w:rPr>
        <w:t>la respuesta y se</w:t>
      </w:r>
      <w:r w:rsidRPr="002669F2">
        <w:rPr>
          <w:rFonts w:ascii="Palatino Linotype" w:hAnsi="Palatino Linotype"/>
          <w:b/>
          <w:bCs/>
          <w:i/>
          <w:lang w:val="es-ES"/>
        </w:rPr>
        <w:t xml:space="preserve"> </w:t>
      </w:r>
      <w:r w:rsidRPr="002669F2">
        <w:rPr>
          <w:rFonts w:ascii="Palatino Linotype" w:hAnsi="Palatino Linotype"/>
          <w:b/>
          <w:i/>
          <w:lang w:val="es-ES"/>
        </w:rPr>
        <w:t xml:space="preserve">ordena </w:t>
      </w:r>
      <w:r w:rsidRPr="002669F2">
        <w:rPr>
          <w:rFonts w:ascii="Palatino Linotype" w:hAnsi="Palatino Linotype"/>
          <w:i/>
          <w:lang w:val="es-ES"/>
        </w:rPr>
        <w:t xml:space="preserve">al </w:t>
      </w:r>
      <w:r w:rsidRPr="002669F2">
        <w:rPr>
          <w:rFonts w:ascii="Palatino Linotype" w:hAnsi="Palatino Linotype"/>
          <w:b/>
          <w:i/>
          <w:lang w:val="es-ES"/>
        </w:rPr>
        <w:t xml:space="preserve">SUJETO OBLIGADO </w:t>
      </w:r>
      <w:r w:rsidRPr="002669F2">
        <w:rPr>
          <w:rFonts w:ascii="Palatino Linotype" w:hAnsi="Palatino Linotype"/>
          <w:i/>
          <w:lang w:val="es-ES"/>
        </w:rPr>
        <w:t xml:space="preserve">atienda la solicitud de información </w:t>
      </w:r>
      <w:r w:rsidRPr="002669F2">
        <w:rPr>
          <w:rFonts w:ascii="Palatino Linotype" w:hAnsi="Palatino Linotype"/>
          <w:b/>
          <w:i/>
          <w:lang w:val="es-ES"/>
        </w:rPr>
        <w:t xml:space="preserve">00469/PJUDICI/IP/2018 </w:t>
      </w:r>
      <w:r w:rsidRPr="002669F2">
        <w:rPr>
          <w:rFonts w:ascii="Palatino Linotype" w:hAnsi="Palatino Linotype"/>
          <w:bCs/>
          <w:i/>
          <w:lang w:val="es-ES"/>
        </w:rPr>
        <w:t xml:space="preserve">y haga entrega a </w:t>
      </w:r>
      <w:r w:rsidRPr="002669F2">
        <w:rPr>
          <w:rFonts w:ascii="Palatino Linotype" w:hAnsi="Palatino Linotype"/>
          <w:b/>
          <w:bCs/>
          <w:i/>
          <w:lang w:val="es-ES"/>
        </w:rPr>
        <w:t>LA</w:t>
      </w:r>
      <w:r w:rsidRPr="002669F2">
        <w:rPr>
          <w:rFonts w:ascii="Palatino Linotype" w:hAnsi="Palatino Linotype"/>
          <w:bCs/>
          <w:i/>
          <w:lang w:val="es-ES"/>
        </w:rPr>
        <w:t xml:space="preserve"> </w:t>
      </w:r>
      <w:r w:rsidRPr="002669F2">
        <w:rPr>
          <w:rFonts w:ascii="Palatino Linotype" w:hAnsi="Palatino Linotype"/>
          <w:b/>
          <w:bCs/>
          <w:i/>
          <w:lang w:val="es-ES"/>
        </w:rPr>
        <w:t xml:space="preserve">RECURRENTE, </w:t>
      </w:r>
      <w:r w:rsidRPr="002669F2">
        <w:rPr>
          <w:rFonts w:ascii="Palatino Linotype" w:hAnsi="Palatino Linotype"/>
          <w:bCs/>
          <w:i/>
          <w:lang w:val="es-ES"/>
        </w:rPr>
        <w:t xml:space="preserve">vía </w:t>
      </w:r>
      <w:r w:rsidRPr="002669F2">
        <w:rPr>
          <w:rFonts w:ascii="Palatino Linotype" w:hAnsi="Palatino Linotype"/>
          <w:b/>
          <w:bCs/>
          <w:i/>
          <w:lang w:val="es-ES"/>
        </w:rPr>
        <w:t xml:space="preserve">SAIMEX </w:t>
      </w:r>
      <w:r w:rsidRPr="002669F2">
        <w:rPr>
          <w:rFonts w:ascii="Palatino Linotype" w:hAnsi="Palatino Linotype"/>
          <w:bCs/>
          <w:i/>
          <w:lang w:val="es-ES"/>
        </w:rPr>
        <w:t xml:space="preserve">en términos del Considerando </w:t>
      </w:r>
      <w:r w:rsidRPr="002669F2">
        <w:rPr>
          <w:rFonts w:ascii="Palatino Linotype" w:hAnsi="Palatino Linotype"/>
          <w:b/>
          <w:bCs/>
          <w:i/>
          <w:lang w:val="es-ES"/>
        </w:rPr>
        <w:t>QUINTO</w:t>
      </w:r>
      <w:r w:rsidRPr="002669F2">
        <w:rPr>
          <w:rFonts w:ascii="Palatino Linotype" w:hAnsi="Palatino Linotype"/>
          <w:bCs/>
          <w:i/>
          <w:lang w:val="es-ES"/>
        </w:rPr>
        <w:t xml:space="preserve"> de esta resolución, de </w:t>
      </w:r>
      <w:r w:rsidRPr="002669F2">
        <w:rPr>
          <w:rFonts w:ascii="Palatino Linotype" w:hAnsi="Palatino Linotype"/>
          <w:i/>
          <w:lang w:val="es-ES"/>
        </w:rPr>
        <w:t xml:space="preserve">lo siguiente: </w:t>
      </w:r>
    </w:p>
    <w:p w:rsidR="002669F2" w:rsidRDefault="002669F2" w:rsidP="002669F2">
      <w:pPr>
        <w:spacing w:after="0" w:line="240" w:lineRule="auto"/>
        <w:ind w:left="851" w:right="851"/>
        <w:jc w:val="both"/>
        <w:rPr>
          <w:rFonts w:ascii="Palatino Linotype" w:hAnsi="Palatino Linotype"/>
          <w:i/>
          <w:iCs/>
          <w:lang w:val="es-ES"/>
        </w:rPr>
      </w:pPr>
      <w:r w:rsidRPr="002669F2">
        <w:rPr>
          <w:rFonts w:ascii="Palatino Linotype" w:hAnsi="Palatino Linotype"/>
          <w:i/>
          <w:iCs/>
          <w:lang w:val="es-ES"/>
        </w:rPr>
        <w:t>“</w:t>
      </w:r>
      <w:r w:rsidRPr="002669F2">
        <w:rPr>
          <w:rFonts w:ascii="Palatino Linotype" w:hAnsi="Palatino Linotype"/>
          <w:b/>
          <w:i/>
          <w:iCs/>
          <w:u w:val="single"/>
          <w:lang w:val="es-ES"/>
        </w:rPr>
        <w:t>El Acuerdo de Clasificación que apruebe el Comité de Transparencia, en el que funde y motive la clasificación de los nombres de los participantes que no obtuvieron una plaza como jueces en materia civil derivado del concurso de oposición que se refiere en la solicitud</w:t>
      </w:r>
      <w:r w:rsidRPr="002669F2">
        <w:rPr>
          <w:rFonts w:ascii="Palatino Linotype" w:hAnsi="Palatino Linotype"/>
          <w:i/>
          <w:iCs/>
          <w:lang w:val="es-ES"/>
        </w:rPr>
        <w:t>, así como el lugar que ocuparon como información confidencial, en términos del artículo 143, fracción I de la Ley de la Transparencia y Acceso a la Información Pública del Estado de México y Municipios.”</w:t>
      </w:r>
    </w:p>
    <w:p w:rsidR="002669F2" w:rsidRPr="002669F2" w:rsidRDefault="002669F2" w:rsidP="002669F2">
      <w:pPr>
        <w:spacing w:after="0" w:line="240" w:lineRule="auto"/>
        <w:ind w:right="851"/>
        <w:jc w:val="both"/>
        <w:rPr>
          <w:rFonts w:ascii="Palatino Linotype" w:hAnsi="Palatino Linotype"/>
          <w:i/>
          <w:lang w:val="es-ES"/>
        </w:rPr>
      </w:pPr>
    </w:p>
    <w:p w:rsidR="002669F2" w:rsidRPr="002669F2" w:rsidRDefault="002669F2" w:rsidP="002669F2">
      <w:pPr>
        <w:spacing w:after="0" w:line="240" w:lineRule="auto"/>
        <w:ind w:left="851" w:right="851"/>
        <w:jc w:val="both"/>
        <w:rPr>
          <w:rFonts w:ascii="Palatino Linotype" w:hAnsi="Palatino Linotype"/>
          <w:i/>
          <w:lang w:val="es-ES"/>
        </w:rPr>
      </w:pPr>
      <w:r>
        <w:rPr>
          <w:rFonts w:ascii="Palatino Linotype" w:hAnsi="Palatino Linotype"/>
          <w:b/>
          <w:i/>
          <w:lang w:val="es-ES"/>
        </w:rPr>
        <w:t>…</w:t>
      </w:r>
    </w:p>
    <w:p w:rsidR="002669F2" w:rsidRPr="002669F2" w:rsidRDefault="002669F2" w:rsidP="002669F2">
      <w:pPr>
        <w:spacing w:after="0" w:line="240" w:lineRule="auto"/>
        <w:ind w:left="851" w:right="851"/>
        <w:jc w:val="both"/>
        <w:rPr>
          <w:rFonts w:ascii="Palatino Linotype" w:hAnsi="Palatino Linotype"/>
          <w:i/>
          <w:lang w:val="es-ES"/>
        </w:rPr>
      </w:pPr>
    </w:p>
    <w:p w:rsidR="002669F2" w:rsidRPr="002669F2" w:rsidRDefault="002669F2" w:rsidP="002669F2">
      <w:pPr>
        <w:spacing w:after="0" w:line="240" w:lineRule="auto"/>
        <w:ind w:left="851" w:right="851"/>
        <w:jc w:val="both"/>
        <w:rPr>
          <w:rFonts w:ascii="Palatino Linotype" w:hAnsi="Palatino Linotype"/>
          <w:i/>
          <w:lang w:val="es-ES"/>
        </w:rPr>
      </w:pPr>
      <w:r w:rsidRPr="002669F2">
        <w:rPr>
          <w:rFonts w:ascii="Palatino Linotype" w:hAnsi="Palatino Linotype"/>
          <w:b/>
          <w:i/>
          <w:lang w:val="es-ES"/>
        </w:rPr>
        <w:t xml:space="preserve">QUINTO. </w:t>
      </w:r>
      <w:r w:rsidRPr="002669F2">
        <w:rPr>
          <w:rFonts w:ascii="Palatino Linotype" w:hAnsi="Palatino Linotype"/>
          <w:b/>
          <w:i/>
          <w:u w:val="single"/>
          <w:lang w:val="es-ES"/>
        </w:rPr>
        <w:t>Hágase del conocimiento</w:t>
      </w:r>
      <w:r w:rsidRPr="002669F2">
        <w:rPr>
          <w:rFonts w:ascii="Palatino Linotype" w:hAnsi="Palatino Linotype"/>
          <w:i/>
          <w:u w:val="single"/>
          <w:lang w:val="es-ES"/>
        </w:rPr>
        <w:t xml:space="preserve"> a </w:t>
      </w:r>
      <w:r w:rsidRPr="002669F2">
        <w:rPr>
          <w:rFonts w:ascii="Palatino Linotype" w:hAnsi="Palatino Linotype"/>
          <w:b/>
          <w:i/>
          <w:u w:val="single"/>
          <w:lang w:val="es-ES"/>
        </w:rPr>
        <w:t>LA RECURRENTE</w:t>
      </w:r>
      <w:r w:rsidRPr="002669F2">
        <w:rPr>
          <w:rFonts w:ascii="Palatino Linotype" w:hAnsi="Palatino Linotype"/>
          <w:i/>
          <w:lang w:val="es-ES"/>
        </w:rPr>
        <w:t xml:space="preserve">, que </w:t>
      </w:r>
      <w:r w:rsidRPr="002669F2">
        <w:rPr>
          <w:rFonts w:ascii="Palatino Linotype" w:hAnsi="Palatino Linotype"/>
          <w:b/>
          <w:i/>
          <w:u w:val="single"/>
          <w:lang w:val="es-ES"/>
        </w:rPr>
        <w:t>de conformidad con lo establecido en el artículo 196 de la Ley de Transparencia</w:t>
      </w:r>
      <w:r w:rsidRPr="002669F2">
        <w:rPr>
          <w:rFonts w:ascii="Palatino Linotype" w:hAnsi="Palatino Linotype"/>
          <w:i/>
          <w:lang w:val="es-ES"/>
        </w:rPr>
        <w:t xml:space="preserve"> y Acceso a la Información Pública del Estado de México y Municipios, </w:t>
      </w:r>
      <w:r w:rsidRPr="002669F2">
        <w:rPr>
          <w:rFonts w:ascii="Palatino Linotype" w:hAnsi="Palatino Linotype"/>
          <w:b/>
          <w:i/>
          <w:u w:val="single"/>
          <w:lang w:val="es-ES"/>
        </w:rPr>
        <w:t>podrá impugnarla vía Juicio de Amparo</w:t>
      </w:r>
      <w:r w:rsidRPr="002669F2">
        <w:rPr>
          <w:rFonts w:ascii="Palatino Linotype" w:hAnsi="Palatino Linotype"/>
          <w:i/>
          <w:lang w:val="es-ES"/>
        </w:rPr>
        <w:t xml:space="preserve"> en los términos de las leyes aplicables.</w:t>
      </w:r>
    </w:p>
    <w:p w:rsidR="002669F2" w:rsidRDefault="002669F2" w:rsidP="002669F2">
      <w:pPr>
        <w:spacing w:after="0" w:line="240" w:lineRule="auto"/>
        <w:ind w:left="851" w:right="851"/>
        <w:jc w:val="both"/>
        <w:rPr>
          <w:rFonts w:ascii="Palatino Linotype" w:hAnsi="Palatino Linotype"/>
          <w:i/>
          <w:lang w:val="es-ES"/>
        </w:rPr>
      </w:pPr>
    </w:p>
    <w:p w:rsidR="00E066A7" w:rsidRPr="002669F2" w:rsidRDefault="00E066A7" w:rsidP="002669F2">
      <w:pPr>
        <w:spacing w:after="0" w:line="240" w:lineRule="auto"/>
        <w:ind w:left="851" w:right="851"/>
        <w:jc w:val="both"/>
        <w:rPr>
          <w:rFonts w:ascii="Palatino Linotype" w:hAnsi="Palatino Linotype"/>
          <w:i/>
          <w:lang w:val="es-ES"/>
        </w:rPr>
      </w:pPr>
      <w:r w:rsidRPr="002669F2">
        <w:rPr>
          <w:rFonts w:ascii="Palatino Linotype" w:hAnsi="Palatino Linotype"/>
          <w:b/>
          <w:i/>
          <w:lang w:val="es-ES_tradnl"/>
        </w:rPr>
        <w:t>Énfasis añadido.</w:t>
      </w:r>
    </w:p>
    <w:p w:rsidR="00E066A7" w:rsidRPr="007913E6" w:rsidRDefault="00E066A7" w:rsidP="00E066A7">
      <w:pPr>
        <w:spacing w:before="240" w:line="360" w:lineRule="auto"/>
        <w:contextualSpacing/>
        <w:jc w:val="both"/>
        <w:rPr>
          <w:rFonts w:ascii="Palatino Linotype" w:hAnsi="Palatino Linotype"/>
          <w:sz w:val="24"/>
          <w:szCs w:val="24"/>
        </w:rPr>
      </w:pPr>
    </w:p>
    <w:p w:rsidR="00E066A7" w:rsidRPr="007913E6" w:rsidRDefault="00E066A7" w:rsidP="00E066A7">
      <w:pPr>
        <w:spacing w:before="240" w:line="360" w:lineRule="auto"/>
        <w:contextualSpacing/>
        <w:jc w:val="both"/>
        <w:rPr>
          <w:rFonts w:ascii="Palatino Linotype" w:hAnsi="Palatino Linotype"/>
          <w:sz w:val="24"/>
          <w:szCs w:val="24"/>
        </w:rPr>
      </w:pPr>
      <w:r w:rsidRPr="007913E6">
        <w:rPr>
          <w:rFonts w:ascii="Palatino Linotype" w:hAnsi="Palatino Linotype"/>
          <w:sz w:val="24"/>
          <w:szCs w:val="24"/>
        </w:rPr>
        <w:lastRenderedPageBreak/>
        <w:t xml:space="preserve">De lo anterior, debe precisarse que si bien se comparte en términos generales el sentido de la resolución, empero a consideración del suscrito </w:t>
      </w:r>
      <w:r w:rsidRPr="007913E6">
        <w:rPr>
          <w:rFonts w:ascii="Palatino Linotype" w:hAnsi="Palatino Linotype" w:cs="Arial"/>
          <w:bCs/>
          <w:sz w:val="24"/>
          <w:szCs w:val="24"/>
        </w:rPr>
        <w:t xml:space="preserve">en el resolutivo </w:t>
      </w:r>
      <w:r w:rsidR="00480AC3">
        <w:rPr>
          <w:rFonts w:ascii="Palatino Linotype" w:hAnsi="Palatino Linotype" w:cs="Arial"/>
          <w:bCs/>
          <w:sz w:val="24"/>
          <w:szCs w:val="24"/>
        </w:rPr>
        <w:t>QUIN</w:t>
      </w:r>
      <w:r w:rsidRPr="007913E6">
        <w:rPr>
          <w:rFonts w:ascii="Palatino Linotype" w:hAnsi="Palatino Linotype" w:cs="Arial"/>
          <w:bCs/>
          <w:sz w:val="24"/>
          <w:szCs w:val="24"/>
        </w:rPr>
        <w:t xml:space="preserve">TO </w:t>
      </w:r>
      <w:r w:rsidRPr="007913E6">
        <w:rPr>
          <w:rFonts w:ascii="Palatino Linotype" w:hAnsi="Palatino Linotype"/>
          <w:color w:val="222222"/>
          <w:sz w:val="24"/>
          <w:szCs w:val="24"/>
          <w:lang w:eastAsia="es-ES_tradnl"/>
        </w:rPr>
        <w:t xml:space="preserve">debió  fundamentarse en lo previsto en los artículos 159 y 160 de la Ley General de Transparencia y Acceso a la Información Pública, es decir, se le debió notificar al particular que podía </w:t>
      </w:r>
      <w:r w:rsidRPr="007913E6">
        <w:rPr>
          <w:rFonts w:ascii="Palatino Linotype" w:hAnsi="Palatino Linotype"/>
          <w:sz w:val="24"/>
          <w:szCs w:val="24"/>
        </w:rPr>
        <w:t>impugnar la resolución vía recurso de inconformidad ante el Instituto Nacional de Transparencia, Acceso a la Información y Protección de Datos Personales</w:t>
      </w:r>
      <w:r w:rsidRPr="007913E6">
        <w:rPr>
          <w:rFonts w:ascii="Palatino Linotype" w:hAnsi="Palatino Linotype"/>
          <w:color w:val="222222"/>
          <w:sz w:val="24"/>
          <w:szCs w:val="24"/>
          <w:lang w:eastAsia="es-ES_tradnl"/>
        </w:rPr>
        <w:t>.</w:t>
      </w:r>
    </w:p>
    <w:p w:rsidR="00E066A7" w:rsidRPr="0072797F" w:rsidRDefault="00E066A7" w:rsidP="00E066A7">
      <w:pPr>
        <w:spacing w:before="240" w:line="360" w:lineRule="auto"/>
        <w:contextualSpacing/>
        <w:jc w:val="both"/>
        <w:rPr>
          <w:rFonts w:ascii="Palatino Linotype" w:hAnsi="Palatino Linotype"/>
          <w:color w:val="222222"/>
          <w:sz w:val="24"/>
          <w:szCs w:val="24"/>
          <w:lang w:val="es-ES" w:eastAsia="es-ES_tradnl"/>
        </w:rPr>
      </w:pPr>
      <w:r w:rsidRPr="007913E6">
        <w:rPr>
          <w:rFonts w:ascii="Palatino Linotype" w:hAnsi="Palatino Linotype"/>
          <w:color w:val="222222"/>
          <w:sz w:val="24"/>
          <w:szCs w:val="24"/>
          <w:lang w:eastAsia="es-ES_tradnl"/>
        </w:rPr>
        <w:t xml:space="preserve">Lo anterior es así toda vez que no se debe perder de vista que </w:t>
      </w:r>
      <w:r w:rsidR="00480AC3">
        <w:rPr>
          <w:rFonts w:ascii="Palatino Linotype" w:hAnsi="Palatino Linotype"/>
          <w:color w:val="222222"/>
          <w:sz w:val="24"/>
          <w:szCs w:val="24"/>
          <w:lang w:eastAsia="es-ES_tradnl"/>
        </w:rPr>
        <w:t xml:space="preserve">el </w:t>
      </w:r>
      <w:r w:rsidR="0072797F">
        <w:rPr>
          <w:rFonts w:ascii="Palatino Linotype" w:hAnsi="Palatino Linotype"/>
          <w:color w:val="222222"/>
          <w:sz w:val="24"/>
          <w:szCs w:val="24"/>
          <w:lang w:eastAsia="es-ES_tradnl"/>
        </w:rPr>
        <w:t xml:space="preserve">impetrante en el presente asunto requiere </w:t>
      </w:r>
      <w:r w:rsidR="00480AC3" w:rsidRPr="00480AC3">
        <w:rPr>
          <w:rFonts w:ascii="Palatino Linotype" w:hAnsi="Palatino Linotype"/>
          <w:color w:val="222222"/>
          <w:sz w:val="24"/>
          <w:szCs w:val="24"/>
          <w:lang w:val="es-ES" w:eastAsia="es-ES_tradnl"/>
        </w:rPr>
        <w:t xml:space="preserve">conocer el nombre de los que ocuparon los lugares del 16 al 33, </w:t>
      </w:r>
      <w:r w:rsidR="0072797F">
        <w:rPr>
          <w:rFonts w:ascii="Palatino Linotype" w:hAnsi="Palatino Linotype"/>
          <w:color w:val="222222"/>
          <w:sz w:val="24"/>
          <w:szCs w:val="24"/>
          <w:lang w:val="es-ES" w:eastAsia="es-ES_tradnl"/>
        </w:rPr>
        <w:t xml:space="preserve">motivo por el cual </w:t>
      </w:r>
      <w:r w:rsidR="00480AC3" w:rsidRPr="00480AC3">
        <w:rPr>
          <w:rFonts w:ascii="Palatino Linotype" w:hAnsi="Palatino Linotype"/>
          <w:b/>
          <w:color w:val="222222"/>
          <w:sz w:val="24"/>
          <w:szCs w:val="24"/>
          <w:lang w:val="es-ES" w:eastAsia="es-ES_tradnl"/>
        </w:rPr>
        <w:t>EL SUJETO OBLIGADO,</w:t>
      </w:r>
      <w:r w:rsidR="00480AC3" w:rsidRPr="00480AC3">
        <w:rPr>
          <w:rFonts w:ascii="Palatino Linotype" w:hAnsi="Palatino Linotype"/>
          <w:color w:val="222222"/>
          <w:sz w:val="24"/>
          <w:szCs w:val="24"/>
          <w:lang w:val="es-ES" w:eastAsia="es-ES_tradnl"/>
        </w:rPr>
        <w:t xml:space="preserve"> debió someter a consideración del Comité de Transparencia la clasificación como confidencial y no sólo a limitarse a señalar que era información considerada como dato personal, ello en virtud de que los actos de autoridad se encuentran constreñidos a fundamentar y motivar sus determinaciones e</w:t>
      </w:r>
      <w:r w:rsidR="0072797F">
        <w:rPr>
          <w:rFonts w:ascii="Palatino Linotype" w:hAnsi="Palatino Linotype"/>
          <w:color w:val="222222"/>
          <w:sz w:val="24"/>
          <w:szCs w:val="24"/>
          <w:lang w:val="es-ES" w:eastAsia="es-ES_tradnl"/>
        </w:rPr>
        <w:t>n un ejercicio de pleno derecho, lo anterior conforme a lo establecido</w:t>
      </w:r>
      <w:r w:rsidR="0072797F" w:rsidRPr="0072797F">
        <w:rPr>
          <w:rFonts w:ascii="Palatino Linotype" w:eastAsia="Times New Roman" w:hAnsi="Palatino Linotype" w:cs="Arial"/>
          <w:sz w:val="24"/>
          <w:szCs w:val="24"/>
          <w:lang w:val="es-ES" w:eastAsia="es-ES"/>
        </w:rPr>
        <w:t xml:space="preserve"> </w:t>
      </w:r>
      <w:r w:rsidR="0072797F">
        <w:rPr>
          <w:rFonts w:ascii="Palatino Linotype" w:eastAsia="Times New Roman" w:hAnsi="Palatino Linotype" w:cs="Arial"/>
          <w:sz w:val="24"/>
          <w:szCs w:val="24"/>
          <w:lang w:val="es-ES" w:eastAsia="es-ES"/>
        </w:rPr>
        <w:t xml:space="preserve">en </w:t>
      </w:r>
      <w:r w:rsidR="0072797F" w:rsidRPr="0072797F">
        <w:rPr>
          <w:rFonts w:ascii="Palatino Linotype" w:hAnsi="Palatino Linotype"/>
          <w:color w:val="222222"/>
          <w:sz w:val="24"/>
          <w:szCs w:val="24"/>
          <w:lang w:val="es-ES" w:eastAsia="es-ES_tradnl"/>
        </w:rPr>
        <w:t>los artículos 122, 124, fracción II, 130, 131, 132, 133, 135, 143, fracción I, 147, 148 y 149 de la de la Ley de Transparencia y Acceso a la Información Pública del Estado de México y Municipios</w:t>
      </w:r>
      <w:r w:rsidRPr="007913E6">
        <w:rPr>
          <w:rFonts w:ascii="Palatino Linotype" w:hAnsi="Palatino Linotype" w:cs="Arial"/>
          <w:sz w:val="24"/>
          <w:szCs w:val="24"/>
        </w:rPr>
        <w:t>, con lo anterior a consideración del suscrito se está confirmando el acuerdo de clasificación correspondiente, motivo por el cual, a partir de la interpretación</w:t>
      </w:r>
      <w:r w:rsidRPr="007913E6">
        <w:rPr>
          <w:rStyle w:val="Refdenotaalpie"/>
          <w:rFonts w:ascii="Palatino Linotype" w:hAnsi="Palatino Linotype" w:cs="Arial"/>
          <w:sz w:val="24"/>
          <w:szCs w:val="24"/>
        </w:rPr>
        <w:footnoteReference w:id="1"/>
      </w:r>
      <w:r w:rsidRPr="007913E6">
        <w:rPr>
          <w:rFonts w:ascii="Palatino Linotype" w:hAnsi="Palatino Linotype" w:cs="Arial"/>
          <w:sz w:val="24"/>
          <w:szCs w:val="24"/>
        </w:rPr>
        <w:t xml:space="preserve"> a los artículos 159 y 160 de la Ley General de Transparencia y Acceso a la Información Pública que son de la literalidad siguiente:</w:t>
      </w:r>
    </w:p>
    <w:p w:rsidR="00E066A7" w:rsidRPr="007913E6" w:rsidRDefault="00E066A7" w:rsidP="00E066A7">
      <w:pPr>
        <w:ind w:left="851" w:right="902"/>
        <w:jc w:val="both"/>
        <w:rPr>
          <w:rFonts w:ascii="Palatino Linotype" w:hAnsi="Palatino Linotype" w:cs="Arial"/>
          <w:i/>
        </w:rPr>
      </w:pPr>
      <w:r w:rsidRPr="007913E6">
        <w:rPr>
          <w:rFonts w:ascii="Palatino Linotype" w:hAnsi="Palatino Linotype" w:cs="Arial"/>
          <w:b/>
          <w:i/>
        </w:rPr>
        <w:lastRenderedPageBreak/>
        <w:t xml:space="preserve">“Artículo 159. </w:t>
      </w:r>
      <w:r w:rsidRPr="007913E6">
        <w:rPr>
          <w:rFonts w:ascii="Palatino Linotype" w:hAnsi="Palatino Linotype" w:cs="Arial"/>
          <w:b/>
          <w:i/>
          <w:u w:val="single"/>
        </w:rPr>
        <w:t>Tratándose de las resoluciones a los recursos de revisión de los Organismos garantes de las Entidades Federativas, los particulares podrán optar por acudir ante el Instituto</w:t>
      </w:r>
      <w:r w:rsidRPr="007913E6">
        <w:rPr>
          <w:rFonts w:ascii="Palatino Linotype" w:hAnsi="Palatino Linotype" w:cs="Arial"/>
          <w:i/>
        </w:rPr>
        <w:t xml:space="preserve"> o ante el Poder Judicial de la Federación.”</w:t>
      </w:r>
    </w:p>
    <w:p w:rsidR="00E066A7" w:rsidRPr="007913E6" w:rsidRDefault="00E066A7" w:rsidP="00E066A7">
      <w:pPr>
        <w:ind w:left="851" w:right="902"/>
        <w:jc w:val="both"/>
        <w:rPr>
          <w:rFonts w:ascii="Palatino Linotype" w:hAnsi="Palatino Linotype" w:cs="Arial"/>
          <w:i/>
        </w:rPr>
      </w:pPr>
      <w:r w:rsidRPr="007913E6">
        <w:rPr>
          <w:rFonts w:ascii="Palatino Linotype" w:hAnsi="Palatino Linotype" w:cs="Arial"/>
          <w:b/>
          <w:i/>
        </w:rPr>
        <w:t>“Artículo 160.</w:t>
      </w:r>
      <w:r w:rsidRPr="007913E6">
        <w:rPr>
          <w:rFonts w:ascii="Palatino Linotype" w:hAnsi="Palatino Linotype" w:cs="Arial"/>
          <w:i/>
        </w:rPr>
        <w:t xml:space="preserve"> El recurso de inconformidad procede contra las resoluciones emitidas por los Organismos garantes de las Entidades Federativas que:</w:t>
      </w:r>
    </w:p>
    <w:p w:rsidR="00E066A7" w:rsidRPr="007913E6" w:rsidRDefault="00E066A7" w:rsidP="00E066A7">
      <w:pPr>
        <w:ind w:left="851" w:right="902"/>
        <w:jc w:val="both"/>
        <w:rPr>
          <w:rFonts w:ascii="Palatino Linotype" w:hAnsi="Palatino Linotype" w:cs="Arial"/>
          <w:i/>
        </w:rPr>
      </w:pPr>
      <w:r w:rsidRPr="007913E6">
        <w:rPr>
          <w:rFonts w:ascii="Palatino Linotype" w:hAnsi="Palatino Linotype" w:cs="Arial"/>
          <w:b/>
          <w:i/>
        </w:rPr>
        <w:t>I.</w:t>
      </w:r>
      <w:r w:rsidRPr="007913E6">
        <w:rPr>
          <w:rFonts w:ascii="Palatino Linotype" w:hAnsi="Palatino Linotype" w:cs="Arial"/>
          <w:i/>
        </w:rPr>
        <w:t xml:space="preserve"> </w:t>
      </w:r>
      <w:r w:rsidRPr="007913E6">
        <w:rPr>
          <w:rFonts w:ascii="Palatino Linotype" w:hAnsi="Palatino Linotype" w:cs="Arial"/>
          <w:b/>
          <w:i/>
          <w:u w:val="single"/>
        </w:rPr>
        <w:t>Confirmen</w:t>
      </w:r>
      <w:r w:rsidRPr="007913E6">
        <w:rPr>
          <w:rFonts w:ascii="Palatino Linotype" w:hAnsi="Palatino Linotype" w:cs="Arial"/>
          <w:i/>
        </w:rPr>
        <w:t xml:space="preserve"> o modifiquen </w:t>
      </w:r>
      <w:r w:rsidRPr="007913E6">
        <w:rPr>
          <w:rFonts w:ascii="Palatino Linotype" w:hAnsi="Palatino Linotype" w:cs="Arial"/>
          <w:b/>
          <w:i/>
          <w:u w:val="single"/>
        </w:rPr>
        <w:t>la clasificación de la información</w:t>
      </w:r>
      <w:r w:rsidRPr="007913E6">
        <w:rPr>
          <w:rFonts w:ascii="Palatino Linotype" w:hAnsi="Palatino Linotype" w:cs="Arial"/>
          <w:i/>
        </w:rPr>
        <w:t>, (…)”</w:t>
      </w:r>
    </w:p>
    <w:p w:rsidR="00E066A7" w:rsidRPr="007913E6" w:rsidRDefault="00E066A7" w:rsidP="00E066A7">
      <w:pPr>
        <w:ind w:left="851" w:right="902"/>
        <w:jc w:val="both"/>
        <w:rPr>
          <w:rFonts w:ascii="Palatino Linotype" w:hAnsi="Palatino Linotype" w:cs="Arial"/>
          <w:i/>
        </w:rPr>
      </w:pPr>
      <w:r w:rsidRPr="007913E6">
        <w:rPr>
          <w:rFonts w:ascii="Palatino Linotype" w:hAnsi="Palatino Linotype" w:cs="Arial"/>
          <w:i/>
        </w:rPr>
        <w:t>Énfasis añadido.</w:t>
      </w:r>
    </w:p>
    <w:p w:rsidR="00E066A7" w:rsidRPr="007913E6" w:rsidRDefault="00E066A7" w:rsidP="00E066A7">
      <w:pPr>
        <w:spacing w:before="240" w:after="240" w:line="360" w:lineRule="auto"/>
        <w:jc w:val="both"/>
        <w:rPr>
          <w:rFonts w:ascii="Palatino Linotype" w:hAnsi="Palatino Linotype"/>
          <w:sz w:val="24"/>
          <w:szCs w:val="24"/>
        </w:rPr>
      </w:pPr>
      <w:r w:rsidRPr="007913E6">
        <w:rPr>
          <w:rFonts w:ascii="Palatino Linotype" w:hAnsi="Palatino Linotype" w:cs="Arial"/>
          <w:sz w:val="24"/>
          <w:szCs w:val="24"/>
        </w:rPr>
        <w:t xml:space="preserve">Debió considerarse </w:t>
      </w:r>
      <w:r w:rsidRPr="007913E6">
        <w:rPr>
          <w:rFonts w:ascii="Palatino Linotype" w:hAnsi="Palatino Linotype"/>
          <w:sz w:val="24"/>
          <w:szCs w:val="24"/>
        </w:rPr>
        <w:t xml:space="preserve">notificar a la particular que podía acudir ante el Instituto Nacional de Transparencia, Acceso a la Información y Protección de Datos Personales (INAI) o ante el Poder Judicial de la Federación para interponer recurso de </w:t>
      </w:r>
      <w:r w:rsidRPr="007913E6">
        <w:rPr>
          <w:rFonts w:ascii="Palatino Linotype" w:hAnsi="Palatino Linotype"/>
          <w:sz w:val="24"/>
          <w:szCs w:val="24"/>
        </w:rPr>
        <w:lastRenderedPageBreak/>
        <w:t xml:space="preserve">inconformidad, </w:t>
      </w:r>
      <w:r w:rsidRPr="007913E6">
        <w:rPr>
          <w:rFonts w:ascii="Palatino Linotype" w:hAnsi="Palatino Linotype" w:cs="Arial"/>
          <w:sz w:val="24"/>
          <w:szCs w:val="24"/>
        </w:rPr>
        <w:t>favoreciendo con ello lo previsto en el artículo 1</w:t>
      </w:r>
      <w:r w:rsidRPr="007913E6">
        <w:rPr>
          <w:rStyle w:val="Refdenotaalpie"/>
          <w:rFonts w:ascii="Palatino Linotype" w:hAnsi="Palatino Linotype" w:cs="Arial"/>
          <w:sz w:val="24"/>
          <w:szCs w:val="24"/>
        </w:rPr>
        <w:footnoteReference w:id="2"/>
      </w:r>
      <w:r w:rsidRPr="007913E6">
        <w:rPr>
          <w:rFonts w:ascii="Palatino Linotype" w:hAnsi="Palatino Linotype" w:cs="Arial"/>
          <w:sz w:val="24"/>
          <w:szCs w:val="24"/>
        </w:rPr>
        <w:t xml:space="preserve"> de la Constitución Política de los Estados Unidos Mexicanos.</w:t>
      </w:r>
    </w:p>
    <w:p w:rsidR="00E066A7" w:rsidRPr="007913E6" w:rsidRDefault="00E066A7" w:rsidP="00E066A7">
      <w:pPr>
        <w:spacing w:before="240" w:after="240" w:line="360" w:lineRule="auto"/>
        <w:jc w:val="both"/>
        <w:rPr>
          <w:rFonts w:ascii="Palatino Linotype" w:hAnsi="Palatino Linotype"/>
          <w:sz w:val="24"/>
          <w:szCs w:val="24"/>
        </w:rPr>
      </w:pPr>
      <w:r w:rsidRPr="007913E6">
        <w:rPr>
          <w:rFonts w:ascii="Palatino Linotype" w:hAnsi="Palatino Linotype"/>
          <w:sz w:val="24"/>
          <w:szCs w:val="24"/>
        </w:rPr>
        <w:t>En este sentido y para abundar en el tema conviene precisar que los particulares podrán interponer recurso de inconformidad ante el INAI o ante el Poder Judicial de la Federación dentro de los quince días posteriores a que se tuvo conocimiento de la resolución mediante el sistema electrónico que para tales efectos haya dispuesto el INAI o por escrito.</w:t>
      </w:r>
    </w:p>
    <w:p w:rsidR="00E066A7" w:rsidRPr="007913E6" w:rsidRDefault="00E066A7" w:rsidP="00E066A7">
      <w:pPr>
        <w:spacing w:before="240" w:after="240" w:line="360" w:lineRule="auto"/>
        <w:jc w:val="both"/>
        <w:rPr>
          <w:rFonts w:ascii="Palatino Linotype" w:hAnsi="Palatino Linotype"/>
          <w:sz w:val="24"/>
          <w:szCs w:val="24"/>
        </w:rPr>
      </w:pPr>
      <w:r w:rsidRPr="007913E6">
        <w:rPr>
          <w:rFonts w:ascii="Palatino Linotype" w:hAnsi="Palatino Linotype"/>
          <w:sz w:val="24"/>
          <w:szCs w:val="24"/>
        </w:rPr>
        <w:t>Cabe considerar, que también se podrá presentar por escrito ante este Instituto, instancia que a su vez tiene la obligación de remitirlo al día siguiente de su recepción al Organismo Garante de la Entidad Federativa, acompañado de la resolución impugnada.</w:t>
      </w:r>
    </w:p>
    <w:p w:rsidR="00E066A7" w:rsidRPr="007913E6" w:rsidRDefault="00E066A7" w:rsidP="00E066A7">
      <w:pPr>
        <w:spacing w:before="240" w:after="120" w:line="360" w:lineRule="auto"/>
        <w:jc w:val="both"/>
        <w:rPr>
          <w:rFonts w:ascii="Palatino Linotype" w:hAnsi="Palatino Linotype"/>
          <w:sz w:val="24"/>
          <w:szCs w:val="24"/>
        </w:rPr>
      </w:pPr>
      <w:r w:rsidRPr="007913E6">
        <w:rPr>
          <w:rFonts w:ascii="Palatino Linotype" w:hAnsi="Palatino Linotype"/>
          <w:sz w:val="24"/>
          <w:szCs w:val="24"/>
        </w:rPr>
        <w:lastRenderedPageBreak/>
        <w:t>Recurso de inconformidad, que deberá contener lo dispuesto en el artículo 162 de la Ley General de referencia, que reza de la siguiente forma:</w:t>
      </w:r>
    </w:p>
    <w:p w:rsidR="00E066A7" w:rsidRDefault="00E066A7" w:rsidP="00E066A7">
      <w:pPr>
        <w:ind w:left="851" w:right="902"/>
        <w:jc w:val="both"/>
        <w:rPr>
          <w:rFonts w:ascii="Palatino Linotype" w:hAnsi="Palatino Linotype"/>
          <w:b/>
          <w:i/>
        </w:rPr>
      </w:pPr>
    </w:p>
    <w:p w:rsidR="00E066A7" w:rsidRPr="007913E6" w:rsidRDefault="00E066A7" w:rsidP="00E066A7">
      <w:pPr>
        <w:ind w:left="851" w:right="902"/>
        <w:jc w:val="both"/>
        <w:rPr>
          <w:rFonts w:ascii="Palatino Linotype" w:hAnsi="Palatino Linotype"/>
          <w:i/>
        </w:rPr>
      </w:pPr>
      <w:r w:rsidRPr="007913E6">
        <w:rPr>
          <w:rFonts w:ascii="Palatino Linotype" w:hAnsi="Palatino Linotype"/>
          <w:b/>
          <w:i/>
        </w:rPr>
        <w:t>“Artículo 162.</w:t>
      </w:r>
      <w:r w:rsidRPr="007913E6">
        <w:rPr>
          <w:rFonts w:ascii="Palatino Linotype" w:hAnsi="Palatino Linotype"/>
          <w:i/>
        </w:rPr>
        <w:t xml:space="preserve"> El recurso de inconformidad deberá contener:  </w:t>
      </w:r>
    </w:p>
    <w:p w:rsidR="00E066A7" w:rsidRPr="007913E6" w:rsidRDefault="00E066A7" w:rsidP="00E066A7">
      <w:pPr>
        <w:ind w:left="1134" w:right="902"/>
        <w:jc w:val="both"/>
        <w:rPr>
          <w:rFonts w:ascii="Palatino Linotype" w:hAnsi="Palatino Linotype"/>
          <w:i/>
        </w:rPr>
      </w:pPr>
      <w:r w:rsidRPr="007913E6">
        <w:rPr>
          <w:rFonts w:ascii="Palatino Linotype" w:hAnsi="Palatino Linotype"/>
          <w:i/>
        </w:rPr>
        <w:t xml:space="preserve">I. El sujeto obligado ante el cual se presentó la solicitud;  </w:t>
      </w:r>
    </w:p>
    <w:p w:rsidR="00E066A7" w:rsidRPr="007913E6" w:rsidRDefault="00E066A7" w:rsidP="00E066A7">
      <w:pPr>
        <w:ind w:left="1134" w:right="902"/>
        <w:jc w:val="both"/>
        <w:rPr>
          <w:rFonts w:ascii="Palatino Linotype" w:hAnsi="Palatino Linotype"/>
          <w:i/>
        </w:rPr>
      </w:pPr>
      <w:r w:rsidRPr="007913E6">
        <w:rPr>
          <w:rFonts w:ascii="Palatino Linotype" w:hAnsi="Palatino Linotype"/>
          <w:i/>
        </w:rPr>
        <w:t xml:space="preserve">II. El número de la resolución del recurso de revisión de la resolución impugnada;  </w:t>
      </w:r>
    </w:p>
    <w:p w:rsidR="00E066A7" w:rsidRPr="007913E6" w:rsidRDefault="00E066A7" w:rsidP="00E066A7">
      <w:pPr>
        <w:ind w:left="1134" w:right="902"/>
        <w:jc w:val="both"/>
        <w:rPr>
          <w:rFonts w:ascii="Palatino Linotype" w:hAnsi="Palatino Linotype"/>
          <w:i/>
        </w:rPr>
      </w:pPr>
      <w:r w:rsidRPr="007913E6">
        <w:rPr>
          <w:rFonts w:ascii="Palatino Linotype" w:hAnsi="Palatino Linotype"/>
          <w:i/>
        </w:rPr>
        <w:t xml:space="preserve">III. El organismo garante que emitió la resolución que se impugna;  </w:t>
      </w:r>
    </w:p>
    <w:p w:rsidR="00E066A7" w:rsidRPr="007913E6" w:rsidRDefault="00E066A7" w:rsidP="00E066A7">
      <w:pPr>
        <w:ind w:left="1134" w:right="902"/>
        <w:jc w:val="both"/>
        <w:rPr>
          <w:rFonts w:ascii="Palatino Linotype" w:hAnsi="Palatino Linotype"/>
          <w:i/>
        </w:rPr>
      </w:pPr>
      <w:r w:rsidRPr="007913E6">
        <w:rPr>
          <w:rFonts w:ascii="Palatino Linotype" w:hAnsi="Palatino Linotype"/>
          <w:i/>
        </w:rPr>
        <w:t xml:space="preserve">IV. El nombre del inconforme y, en su caso, del tercero interesado, así como las correspondientes direcciones o medios para recibir notificaciones;  </w:t>
      </w:r>
    </w:p>
    <w:p w:rsidR="00E066A7" w:rsidRPr="007913E6" w:rsidRDefault="00E066A7" w:rsidP="00E066A7">
      <w:pPr>
        <w:ind w:left="1134" w:right="902"/>
        <w:jc w:val="both"/>
        <w:rPr>
          <w:rFonts w:ascii="Palatino Linotype" w:hAnsi="Palatino Linotype"/>
          <w:i/>
        </w:rPr>
      </w:pPr>
      <w:r w:rsidRPr="007913E6">
        <w:rPr>
          <w:rFonts w:ascii="Palatino Linotype" w:hAnsi="Palatino Linotype"/>
          <w:i/>
        </w:rPr>
        <w:t xml:space="preserve">V. La fecha en que fue notificada la resolución impugnada;  </w:t>
      </w:r>
    </w:p>
    <w:p w:rsidR="00E066A7" w:rsidRPr="007913E6" w:rsidRDefault="00E066A7" w:rsidP="00E066A7">
      <w:pPr>
        <w:ind w:left="1134" w:right="902"/>
        <w:jc w:val="both"/>
        <w:rPr>
          <w:rFonts w:ascii="Palatino Linotype" w:hAnsi="Palatino Linotype"/>
          <w:i/>
        </w:rPr>
      </w:pPr>
      <w:r w:rsidRPr="007913E6">
        <w:rPr>
          <w:rFonts w:ascii="Palatino Linotype" w:hAnsi="Palatino Linotype"/>
          <w:i/>
        </w:rPr>
        <w:t xml:space="preserve">VI. El acto que se recurre;  </w:t>
      </w:r>
    </w:p>
    <w:p w:rsidR="00E066A7" w:rsidRPr="007913E6" w:rsidRDefault="00E066A7" w:rsidP="00E066A7">
      <w:pPr>
        <w:ind w:left="1134" w:right="902"/>
        <w:jc w:val="both"/>
        <w:rPr>
          <w:rFonts w:ascii="Palatino Linotype" w:hAnsi="Palatino Linotype"/>
          <w:i/>
        </w:rPr>
      </w:pPr>
      <w:r w:rsidRPr="007913E6">
        <w:rPr>
          <w:rFonts w:ascii="Palatino Linotype" w:hAnsi="Palatino Linotype"/>
          <w:i/>
        </w:rPr>
        <w:t xml:space="preserve">VII. Las razones o motivos de la inconformidad, y  </w:t>
      </w:r>
    </w:p>
    <w:p w:rsidR="00E066A7" w:rsidRPr="007913E6" w:rsidRDefault="00E066A7" w:rsidP="00E066A7">
      <w:pPr>
        <w:ind w:left="1134" w:right="902"/>
        <w:jc w:val="both"/>
        <w:rPr>
          <w:rFonts w:ascii="Palatino Linotype" w:hAnsi="Palatino Linotype"/>
          <w:i/>
        </w:rPr>
      </w:pPr>
      <w:r w:rsidRPr="007913E6">
        <w:rPr>
          <w:rFonts w:ascii="Palatino Linotype" w:hAnsi="Palatino Linotype"/>
          <w:i/>
        </w:rPr>
        <w:t xml:space="preserve">VIII. La copia de la resolución que se impugna y, en su caso, de la notificación correspondiente.  </w:t>
      </w:r>
    </w:p>
    <w:p w:rsidR="00E066A7" w:rsidRPr="007913E6" w:rsidRDefault="00E066A7" w:rsidP="00E066A7">
      <w:pPr>
        <w:ind w:left="851" w:right="902"/>
        <w:jc w:val="both"/>
        <w:rPr>
          <w:rFonts w:ascii="Palatino Linotype" w:hAnsi="Palatino Linotype"/>
          <w:i/>
        </w:rPr>
      </w:pPr>
      <w:r w:rsidRPr="007913E6">
        <w:rPr>
          <w:rFonts w:ascii="Palatino Linotype" w:hAnsi="Palatino Linotype"/>
          <w:i/>
        </w:rPr>
        <w:t>El recurrente podrá anexar las pruebas y demás elementos que considere procedentes someter a consideración del organismo garante.”</w:t>
      </w:r>
    </w:p>
    <w:p w:rsidR="00E066A7" w:rsidRDefault="00E066A7" w:rsidP="00E066A7">
      <w:pPr>
        <w:spacing w:before="120" w:after="240" w:line="360" w:lineRule="auto"/>
        <w:jc w:val="both"/>
        <w:rPr>
          <w:rFonts w:ascii="Palatino Linotype" w:hAnsi="Palatino Linotype"/>
          <w:sz w:val="24"/>
          <w:szCs w:val="24"/>
        </w:rPr>
      </w:pPr>
    </w:p>
    <w:p w:rsidR="00E066A7" w:rsidRPr="007913E6" w:rsidRDefault="00E066A7" w:rsidP="00E066A7">
      <w:pPr>
        <w:spacing w:before="120" w:after="240" w:line="360" w:lineRule="auto"/>
        <w:jc w:val="both"/>
        <w:rPr>
          <w:rFonts w:ascii="Palatino Linotype" w:hAnsi="Palatino Linotype"/>
          <w:sz w:val="24"/>
          <w:szCs w:val="24"/>
        </w:rPr>
      </w:pPr>
      <w:r w:rsidRPr="007913E6">
        <w:rPr>
          <w:rFonts w:ascii="Palatino Linotype" w:hAnsi="Palatino Linotype"/>
          <w:sz w:val="24"/>
          <w:szCs w:val="24"/>
        </w:rPr>
        <w:t xml:space="preserve">Por lo que concluyó diciendo, que a fin de salvaguardar el derecho de acceso a la información del particular, se le debió notificar mediante el resolutivo </w:t>
      </w:r>
      <w:r w:rsidR="0072797F">
        <w:rPr>
          <w:rFonts w:ascii="Palatino Linotype" w:hAnsi="Palatino Linotype"/>
          <w:sz w:val="24"/>
          <w:szCs w:val="24"/>
        </w:rPr>
        <w:t>QUIN</w:t>
      </w:r>
      <w:r w:rsidRPr="007913E6">
        <w:rPr>
          <w:rFonts w:ascii="Palatino Linotype" w:hAnsi="Palatino Linotype"/>
          <w:sz w:val="24"/>
          <w:szCs w:val="24"/>
        </w:rPr>
        <w:t xml:space="preserve">TO que podía interponer recurso de inconformidad ante el Instituto Nacional de Transparencia, Acceso a la Información y Protección de Datos Personales (INAI) con </w:t>
      </w:r>
      <w:r w:rsidRPr="007913E6">
        <w:rPr>
          <w:rFonts w:ascii="Palatino Linotype" w:hAnsi="Palatino Linotype"/>
          <w:sz w:val="24"/>
          <w:szCs w:val="24"/>
        </w:rPr>
        <w:lastRenderedPageBreak/>
        <w:t>base en lo dispuesto en los artículos 196 de la Ley de Transparencia y Acceso a la Información Pública del Estado de México de México y Municipios, 159 y 160 de la Ley General de Transparencia y Acceso a la Información Pública.</w:t>
      </w:r>
    </w:p>
    <w:p w:rsidR="00E066A7" w:rsidRPr="007913E6" w:rsidRDefault="00E066A7" w:rsidP="00E066A7">
      <w:pPr>
        <w:spacing w:before="120" w:after="240" w:line="360" w:lineRule="auto"/>
        <w:jc w:val="both"/>
        <w:rPr>
          <w:rFonts w:ascii="Palatino Linotype" w:hAnsi="Palatino Linotype"/>
        </w:rPr>
      </w:pPr>
      <w:r w:rsidRPr="00B51880">
        <w:rPr>
          <w:rFonts w:ascii="Palatino Linotype" w:hAnsi="Palatino Linotype"/>
          <w:sz w:val="24"/>
          <w:szCs w:val="24"/>
        </w:rPr>
        <w:t xml:space="preserve">Lo anterior, son razones suficientes para la </w:t>
      </w:r>
      <w:r>
        <w:rPr>
          <w:rFonts w:ascii="Palatino Linotype" w:hAnsi="Palatino Linotype"/>
          <w:sz w:val="24"/>
          <w:szCs w:val="24"/>
        </w:rPr>
        <w:t>emisión</w:t>
      </w:r>
      <w:r w:rsidRPr="00B51880">
        <w:rPr>
          <w:rFonts w:ascii="Palatino Linotype" w:hAnsi="Palatino Linotype"/>
          <w:sz w:val="24"/>
          <w:szCs w:val="24"/>
        </w:rPr>
        <w:t xml:space="preserve"> y presentación de</w:t>
      </w:r>
      <w:r>
        <w:rPr>
          <w:rFonts w:ascii="Palatino Linotype" w:hAnsi="Palatino Linotype"/>
          <w:sz w:val="24"/>
          <w:szCs w:val="24"/>
        </w:rPr>
        <w:t xml:space="preserve">l presente Voto Particular relacionado con la resolución del recurso de revisión referido. </w:t>
      </w:r>
    </w:p>
    <w:p w:rsidR="00E066A7" w:rsidRDefault="00E066A7" w:rsidP="00E066A7">
      <w:pPr>
        <w:spacing w:after="0" w:line="240" w:lineRule="auto"/>
        <w:jc w:val="center"/>
        <w:rPr>
          <w:rFonts w:ascii="Palatino Linotype" w:hAnsi="Palatino Linotype"/>
          <w:b/>
          <w:sz w:val="24"/>
          <w:szCs w:val="24"/>
        </w:rPr>
      </w:pPr>
    </w:p>
    <w:p w:rsidR="00E066A7" w:rsidRDefault="00E066A7" w:rsidP="00E066A7">
      <w:pPr>
        <w:spacing w:after="0" w:line="240" w:lineRule="auto"/>
        <w:jc w:val="center"/>
        <w:rPr>
          <w:rFonts w:ascii="Palatino Linotype" w:hAnsi="Palatino Linotype"/>
          <w:b/>
          <w:sz w:val="24"/>
          <w:szCs w:val="24"/>
        </w:rPr>
      </w:pPr>
    </w:p>
    <w:p w:rsidR="00E066A7" w:rsidRDefault="00E066A7" w:rsidP="00E066A7">
      <w:pPr>
        <w:spacing w:after="0" w:line="240" w:lineRule="auto"/>
        <w:jc w:val="center"/>
        <w:rPr>
          <w:rFonts w:ascii="Palatino Linotype" w:hAnsi="Palatino Linotype"/>
          <w:b/>
          <w:sz w:val="24"/>
          <w:szCs w:val="24"/>
        </w:rPr>
      </w:pPr>
    </w:p>
    <w:p w:rsidR="00E066A7" w:rsidRDefault="00E066A7" w:rsidP="00E066A7">
      <w:pPr>
        <w:spacing w:after="0" w:line="240" w:lineRule="auto"/>
        <w:jc w:val="center"/>
        <w:rPr>
          <w:rFonts w:ascii="Palatino Linotype" w:hAnsi="Palatino Linotype"/>
          <w:b/>
          <w:sz w:val="24"/>
          <w:szCs w:val="24"/>
        </w:rPr>
      </w:pPr>
    </w:p>
    <w:p w:rsidR="00E066A7" w:rsidRDefault="00E066A7" w:rsidP="00E066A7">
      <w:pPr>
        <w:spacing w:after="0" w:line="240" w:lineRule="auto"/>
        <w:jc w:val="center"/>
        <w:rPr>
          <w:rFonts w:ascii="Palatino Linotype" w:hAnsi="Palatino Linotype"/>
          <w:b/>
          <w:sz w:val="24"/>
          <w:szCs w:val="24"/>
        </w:rPr>
      </w:pPr>
    </w:p>
    <w:p w:rsidR="00E066A7" w:rsidRPr="00B51880" w:rsidRDefault="00E066A7" w:rsidP="00E066A7">
      <w:pPr>
        <w:spacing w:after="0" w:line="240" w:lineRule="auto"/>
        <w:jc w:val="center"/>
        <w:rPr>
          <w:rFonts w:ascii="Palatino Linotype" w:hAnsi="Palatino Linotype"/>
          <w:b/>
          <w:sz w:val="24"/>
          <w:szCs w:val="24"/>
        </w:rPr>
      </w:pPr>
      <w:r w:rsidRPr="00B51880">
        <w:rPr>
          <w:rFonts w:ascii="Palatino Linotype" w:hAnsi="Palatino Linotype"/>
          <w:b/>
          <w:sz w:val="24"/>
          <w:szCs w:val="24"/>
        </w:rPr>
        <w:t>Javier Martínez Cruz</w:t>
      </w:r>
    </w:p>
    <w:p w:rsidR="00E066A7" w:rsidRDefault="00E066A7" w:rsidP="00E066A7">
      <w:pPr>
        <w:spacing w:after="0" w:line="240" w:lineRule="auto"/>
        <w:jc w:val="center"/>
        <w:rPr>
          <w:rFonts w:ascii="Palatino Linotype" w:hAnsi="Palatino Linotype"/>
          <w:b/>
          <w:sz w:val="24"/>
          <w:szCs w:val="24"/>
        </w:rPr>
      </w:pPr>
      <w:r w:rsidRPr="00B51880">
        <w:rPr>
          <w:rFonts w:ascii="Palatino Linotype" w:hAnsi="Palatino Linotype"/>
          <w:b/>
          <w:sz w:val="24"/>
          <w:szCs w:val="24"/>
        </w:rPr>
        <w:t>Comisionado</w:t>
      </w:r>
    </w:p>
    <w:p w:rsidR="0072797F" w:rsidRDefault="0072797F" w:rsidP="00E066A7">
      <w:pPr>
        <w:spacing w:after="0" w:line="240" w:lineRule="auto"/>
        <w:jc w:val="center"/>
        <w:rPr>
          <w:rFonts w:ascii="Palatino Linotype" w:hAnsi="Palatino Linotype"/>
          <w:b/>
          <w:sz w:val="24"/>
          <w:szCs w:val="24"/>
        </w:rPr>
      </w:pPr>
      <w:bookmarkStart w:id="0" w:name="_GoBack"/>
      <w:bookmarkEnd w:id="0"/>
    </w:p>
    <w:p w:rsidR="00E066A7" w:rsidRPr="00D318C0" w:rsidRDefault="00E066A7" w:rsidP="00E066A7">
      <w:pPr>
        <w:spacing w:after="0" w:line="240" w:lineRule="auto"/>
        <w:jc w:val="center"/>
        <w:rPr>
          <w:rFonts w:ascii="Palatino Linotype" w:hAnsi="Palatino Linotype"/>
          <w:sz w:val="24"/>
          <w:szCs w:val="24"/>
        </w:rPr>
      </w:pPr>
    </w:p>
    <w:p w:rsidR="00E066A7" w:rsidRPr="00966EC6" w:rsidRDefault="00E066A7" w:rsidP="00E066A7">
      <w:pPr>
        <w:rPr>
          <w:rFonts w:ascii="Palatino Linotype" w:hAnsi="Palatino Linotype"/>
          <w:b/>
          <w:sz w:val="24"/>
          <w:szCs w:val="24"/>
        </w:rPr>
      </w:pPr>
    </w:p>
    <w:p w:rsidR="00E066A7" w:rsidRDefault="00E066A7" w:rsidP="00E066A7"/>
    <w:p w:rsidR="002B6CAC" w:rsidRDefault="002B6CAC"/>
    <w:sectPr w:rsidR="002B6CAC" w:rsidSect="007F0307">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3CE" w:rsidRDefault="001E73CE" w:rsidP="00E066A7">
      <w:pPr>
        <w:spacing w:after="0" w:line="240" w:lineRule="auto"/>
      </w:pPr>
      <w:r>
        <w:separator/>
      </w:r>
    </w:p>
  </w:endnote>
  <w:endnote w:type="continuationSeparator" w:id="0">
    <w:p w:rsidR="001E73CE" w:rsidRDefault="001E73CE" w:rsidP="00E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AC580C"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400AE">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400AE">
      <w:rPr>
        <w:rFonts w:ascii="Arial" w:hAnsi="Arial" w:cs="Arial"/>
        <w:b/>
        <w:bCs/>
        <w:noProof/>
        <w:sz w:val="20"/>
        <w:szCs w:val="20"/>
      </w:rPr>
      <w:t>8</w:t>
    </w:r>
    <w:r w:rsidRPr="00986599">
      <w:rPr>
        <w:rFonts w:ascii="Arial" w:hAnsi="Arial" w:cs="Arial"/>
        <w:b/>
        <w:bCs/>
        <w:sz w:val="20"/>
        <w:szCs w:val="20"/>
      </w:rPr>
      <w:fldChar w:fldCharType="end"/>
    </w:r>
  </w:p>
  <w:p w:rsidR="007F0307" w:rsidRDefault="001E73CE" w:rsidP="007F0307">
    <w:pPr>
      <w:pStyle w:val="Piedepgina"/>
      <w:jc w:val="right"/>
    </w:pPr>
  </w:p>
  <w:p w:rsidR="003A7B43" w:rsidRDefault="001E73CE"/>
  <w:p w:rsidR="003A7B43" w:rsidRDefault="001E73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3CE" w:rsidRDefault="001E73CE" w:rsidP="00E066A7">
      <w:pPr>
        <w:spacing w:after="0" w:line="240" w:lineRule="auto"/>
      </w:pPr>
      <w:r>
        <w:separator/>
      </w:r>
    </w:p>
  </w:footnote>
  <w:footnote w:type="continuationSeparator" w:id="0">
    <w:p w:rsidR="001E73CE" w:rsidRDefault="001E73CE" w:rsidP="00E066A7">
      <w:pPr>
        <w:spacing w:after="0" w:line="240" w:lineRule="auto"/>
      </w:pPr>
      <w:r>
        <w:continuationSeparator/>
      </w:r>
    </w:p>
  </w:footnote>
  <w:footnote w:id="1">
    <w:p w:rsidR="00E066A7" w:rsidRPr="0072797F" w:rsidRDefault="00E066A7" w:rsidP="00E066A7">
      <w:pPr>
        <w:pStyle w:val="Textonotapie"/>
        <w:jc w:val="both"/>
        <w:rPr>
          <w:rFonts w:ascii="Palatino Linotype" w:hAnsi="Palatino Linotype"/>
          <w:i/>
          <w:sz w:val="18"/>
          <w:szCs w:val="18"/>
        </w:rPr>
      </w:pPr>
      <w:r>
        <w:rPr>
          <w:rStyle w:val="Refdenotaalpie"/>
        </w:rPr>
        <w:footnoteRef/>
      </w:r>
      <w:r>
        <w:t xml:space="preserve"> </w:t>
      </w:r>
      <w:r w:rsidRPr="0072797F">
        <w:rPr>
          <w:rFonts w:ascii="Palatino Linotype" w:hAnsi="Palatino Linotype"/>
          <w:i/>
          <w:sz w:val="18"/>
          <w:szCs w:val="18"/>
        </w:rPr>
        <w:t xml:space="preserve">Cfr. </w:t>
      </w:r>
      <w:r w:rsidRPr="0072797F">
        <w:rPr>
          <w:rFonts w:ascii="Palatino Linotype" w:hAnsi="Palatino Linotype"/>
          <w:sz w:val="18"/>
          <w:szCs w:val="18"/>
        </w:rPr>
        <w:t xml:space="preserve">Tesis Aislada de la Décima Época P. II/2017 (10a.) </w:t>
      </w:r>
      <w:r w:rsidRPr="0072797F">
        <w:rPr>
          <w:rFonts w:ascii="Palatino Linotype" w:hAnsi="Palatino Linotype"/>
          <w:i/>
          <w:sz w:val="18"/>
          <w:szCs w:val="18"/>
        </w:rPr>
        <w:t xml:space="preserve">INTERPRETACIÓN CONFORME. SUS ALCANCES EN RELACIÓN CON EL PRINCIPIO DE INTERPRETACIÓN MÁS FAVORABLE A LA PERSONA. El principio de interpretación conforme se fundamenta en el diverso de conservación legal, lo que supone que dicha interpretación está limitada por dos aspectos: uno subjetivo y otro objetivo; por un lado, aquél encuentra su límite en la voluntad del legislador, es decir, se relaciona con la funcionalidad y el alcance que el legislador imprimió a la norma y, por otro, el criterio objetivo es el resultado final o el propio texto de la norma en cuestión. En el caso de la voluntad objetiva del legislador, la interpretación conforme puede realizarse siempre y cuando el sentido normativo resultante de la ley no conlleve una distorsión, sino una atemperación o adecuación frente al texto original de la disposición normativa impugnada; asimismo, el principio de interpretación conforme se fundamenta en una presunción general de validez de las normas que tiene como propósito la conservación de las leyes; por ello, se trata de un método que opera antes de estimar inconstitucional o </w:t>
      </w:r>
      <w:proofErr w:type="spellStart"/>
      <w:r w:rsidRPr="0072797F">
        <w:rPr>
          <w:rFonts w:ascii="Palatino Linotype" w:hAnsi="Palatino Linotype"/>
          <w:i/>
          <w:sz w:val="18"/>
          <w:szCs w:val="18"/>
        </w:rPr>
        <w:t>inconvencional</w:t>
      </w:r>
      <w:proofErr w:type="spellEnd"/>
      <w:r w:rsidRPr="0072797F">
        <w:rPr>
          <w:rFonts w:ascii="Palatino Linotype" w:hAnsi="Palatino Linotype"/>
          <w:i/>
          <w:sz w:val="18"/>
          <w:szCs w:val="18"/>
        </w:rPr>
        <w:t xml:space="preserve"> un precepto legal. En ese sentido, sólo cuando exista una clara incompatibilidad o contradicción que se torne insalvable entre una norma ordinaria y la Constitución Política de los Estados Unidos Mexicanos o algún instrumento internacional, se realizará una declaración de inconstitucionalidad o, en su caso, de </w:t>
      </w:r>
      <w:proofErr w:type="spellStart"/>
      <w:r w:rsidRPr="0072797F">
        <w:rPr>
          <w:rFonts w:ascii="Palatino Linotype" w:hAnsi="Palatino Linotype"/>
          <w:i/>
          <w:sz w:val="18"/>
          <w:szCs w:val="18"/>
        </w:rPr>
        <w:t>inconvencionalidad</w:t>
      </w:r>
      <w:proofErr w:type="spellEnd"/>
      <w:r w:rsidRPr="0072797F">
        <w:rPr>
          <w:rFonts w:ascii="Palatino Linotype" w:hAnsi="Palatino Linotype"/>
          <w:i/>
          <w:sz w:val="18"/>
          <w:szCs w:val="18"/>
        </w:rPr>
        <w:t>; por tanto, el operador jurídico, al utilizar el principio de interpretación conforme, deberá agotar todas las posibilidades de encontrar en la disposición normativa impugnada un significado que la haga compatible con la Constitución o con algún instrumento internacional. Al respecto, dicha técnica interpretativa está íntimamente vinculada con el principio de interpretación más favorable a la persona, el cual obliga a maximizar la interpretación conforme de todas las normas expedidas por el legislador al texto constitucional y a los instrumentos internacionales, en aquellos escenarios en los que permita la efectividad de los derechos humanos de las personas frente al vacío legislativo que previsiblemente pudiera ocasionar la declaración de inconstitucionalidad de la disposición de observancia general. Por tanto, mientras la interpretación conforme supone armonizar su contenido con el texto constitucional, el principio de interpretación más favorable a la persona lo potencia significativamente, al obligar al operador jurídico a optar por la disposición que más beneficie a la persona y en todo caso a la sociedad.</w:t>
      </w:r>
    </w:p>
  </w:footnote>
  <w:footnote w:id="2">
    <w:p w:rsidR="00E066A7" w:rsidRPr="0072797F" w:rsidRDefault="00E066A7" w:rsidP="00E066A7">
      <w:pPr>
        <w:pStyle w:val="Textonotapie"/>
        <w:jc w:val="both"/>
        <w:rPr>
          <w:rFonts w:ascii="Palatino Linotype" w:hAnsi="Palatino Linotype"/>
          <w:i/>
          <w:sz w:val="18"/>
          <w:szCs w:val="18"/>
        </w:rPr>
      </w:pPr>
      <w:r>
        <w:rPr>
          <w:rStyle w:val="Refdenotaalpie"/>
        </w:rPr>
        <w:footnoteRef/>
      </w:r>
      <w:r>
        <w:t xml:space="preserve"> </w:t>
      </w:r>
      <w:r w:rsidRPr="0072797F">
        <w:rPr>
          <w:rFonts w:ascii="Palatino Linotype" w:hAnsi="Palatino Linotype"/>
          <w:i/>
          <w:sz w:val="18"/>
          <w:szCs w:val="18"/>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Está prohibida la esclavitud en los Estados Unidos Mexicanos. Los esclavos del extranjero que entren al territorio nacional alcanzarán, por este solo hecho, su libertad y la protección de las leyes.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AC580C">
    <w:pPr>
      <w:pStyle w:val="Encabezado"/>
    </w:pPr>
    <w:r>
      <w:rPr>
        <w:noProof/>
        <w:lang w:val="es-MX" w:eastAsia="es-MX"/>
      </w:rPr>
      <mc:AlternateContent>
        <mc:Choice Requires="wps">
          <w:drawing>
            <wp:anchor distT="0" distB="0" distL="114300" distR="114300" simplePos="0" relativeHeight="251656704" behindDoc="1" locked="0" layoutInCell="0" allowOverlap="1" wp14:anchorId="56FDE714" wp14:editId="6596DFD3">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AC580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FDE714"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AC580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1E73CE"/>
  <w:p w:rsidR="003A7B43" w:rsidRDefault="001E73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AC580C"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6815A1A1" wp14:editId="20E6809F">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1E73CE">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49"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1E73CE" w:rsidP="007F0307">
    <w:pPr>
      <w:pStyle w:val="Encabezado"/>
      <w:jc w:val="right"/>
      <w:rPr>
        <w:rFonts w:ascii="Arial" w:hAnsi="Arial" w:cs="Arial"/>
        <w:sz w:val="20"/>
        <w:szCs w:val="20"/>
      </w:rPr>
    </w:pPr>
  </w:p>
  <w:p w:rsidR="007F0307" w:rsidRDefault="001E73CE" w:rsidP="007F0307">
    <w:pPr>
      <w:pStyle w:val="Encabezado"/>
      <w:jc w:val="right"/>
      <w:rPr>
        <w:rFonts w:ascii="Arial" w:hAnsi="Arial" w:cs="Arial"/>
        <w:sz w:val="20"/>
        <w:szCs w:val="20"/>
      </w:rPr>
    </w:pPr>
  </w:p>
  <w:p w:rsidR="007F0307" w:rsidRPr="00563D0F" w:rsidRDefault="00AC580C"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AC580C"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b/>
        <w:sz w:val="22"/>
        <w:szCs w:val="22"/>
        <w:lang w:val="es-ES_tradnl"/>
      </w:rPr>
      <w:t>0</w:t>
    </w:r>
    <w:r w:rsidR="00E066A7">
      <w:rPr>
        <w:rFonts w:ascii="Palatino Linotype" w:hAnsi="Palatino Linotype"/>
        <w:b/>
        <w:sz w:val="22"/>
        <w:szCs w:val="22"/>
        <w:lang w:val="es-ES_tradnl"/>
      </w:rPr>
      <w:t>3</w:t>
    </w:r>
    <w:r>
      <w:rPr>
        <w:rFonts w:ascii="Palatino Linotype" w:hAnsi="Palatino Linotype"/>
        <w:b/>
        <w:sz w:val="22"/>
        <w:szCs w:val="22"/>
        <w:lang w:val="es-ES_tradnl"/>
      </w:rPr>
      <w:t>1</w:t>
    </w:r>
    <w:r w:rsidR="00E066A7">
      <w:rPr>
        <w:rFonts w:ascii="Palatino Linotype" w:hAnsi="Palatino Linotype"/>
        <w:b/>
        <w:sz w:val="22"/>
        <w:szCs w:val="22"/>
        <w:lang w:val="es-ES_tradnl"/>
      </w:rPr>
      <w:t>97</w:t>
    </w:r>
    <w:r>
      <w:rPr>
        <w:rFonts w:ascii="Palatino Linotype" w:hAnsi="Palatino Linotype"/>
        <w:b/>
        <w:sz w:val="22"/>
        <w:szCs w:val="22"/>
        <w:lang w:val="es-ES_tradnl"/>
      </w:rPr>
      <w:t>/INFOEM/IP/RR/2018.</w:t>
    </w:r>
  </w:p>
  <w:p w:rsidR="007F0307" w:rsidRDefault="001E73CE" w:rsidP="007F0307">
    <w:pPr>
      <w:pStyle w:val="Encabezado"/>
      <w:jc w:val="right"/>
      <w:rPr>
        <w:rFonts w:ascii="Palatino Linotype" w:hAnsi="Palatino Linotype" w:cs="Arial"/>
        <w:sz w:val="20"/>
        <w:szCs w:val="20"/>
      </w:rPr>
    </w:pPr>
  </w:p>
  <w:p w:rsidR="00D40FD0" w:rsidRDefault="001E73CE"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42F08"/>
    <w:multiLevelType w:val="hybridMultilevel"/>
    <w:tmpl w:val="20D60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A7"/>
    <w:rsid w:val="001E73CE"/>
    <w:rsid w:val="002669F2"/>
    <w:rsid w:val="002B6CAC"/>
    <w:rsid w:val="00480AC3"/>
    <w:rsid w:val="0072797F"/>
    <w:rsid w:val="00764D52"/>
    <w:rsid w:val="00A355DC"/>
    <w:rsid w:val="00AC580C"/>
    <w:rsid w:val="00E066A7"/>
    <w:rsid w:val="00F400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10532BB-8707-488E-B3EC-8B85CB33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A7"/>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6A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066A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066A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066A7"/>
    <w:rPr>
      <w:rFonts w:ascii="Times New Roman" w:eastAsia="Times New Roman" w:hAnsi="Times New Roman" w:cs="Times New Roman"/>
      <w:sz w:val="24"/>
      <w:szCs w:val="24"/>
      <w:lang w:val="es-ES" w:eastAsia="es-ES"/>
    </w:rPr>
  </w:style>
  <w:style w:type="paragraph" w:styleId="NormalWeb">
    <w:name w:val="Normal (Web)"/>
    <w:basedOn w:val="Normal"/>
    <w:uiPriority w:val="99"/>
    <w:rsid w:val="00E066A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E066A7"/>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E066A7"/>
    <w:rPr>
      <w:rFonts w:ascii="Times New Roman" w:eastAsia="Calibri"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066A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066A7"/>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rsid w:val="00E066A7"/>
    <w:rPr>
      <w:vertAlign w:val="superscript"/>
    </w:rPr>
  </w:style>
  <w:style w:type="character" w:styleId="Hipervnculo">
    <w:name w:val="Hyperlink"/>
    <w:basedOn w:val="Fuentedeprrafopredeter"/>
    <w:uiPriority w:val="99"/>
    <w:semiHidden/>
    <w:unhideWhenUsed/>
    <w:rsid w:val="00E066A7"/>
    <w:rPr>
      <w:color w:val="0000FF"/>
      <w:u w:val="single"/>
    </w:rPr>
  </w:style>
  <w:style w:type="paragraph" w:styleId="Textodeglobo">
    <w:name w:val="Balloon Text"/>
    <w:basedOn w:val="Normal"/>
    <w:link w:val="TextodegloboCar"/>
    <w:uiPriority w:val="99"/>
    <w:semiHidden/>
    <w:unhideWhenUsed/>
    <w:rsid w:val="007279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7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1377</Words>
  <Characters>7577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2018-11-12T19:41:00Z</cp:lastPrinted>
  <dcterms:created xsi:type="dcterms:W3CDTF">2018-11-12T15:30:00Z</dcterms:created>
  <dcterms:modified xsi:type="dcterms:W3CDTF">2018-11-12T19:43:00Z</dcterms:modified>
</cp:coreProperties>
</file>